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F01B0" w14:textId="169866EB" w:rsidR="00BE6367" w:rsidRDefault="00C90F6A" w:rsidP="00AA7016">
      <w:pPr>
        <w:spacing w:after="0" w:line="240" w:lineRule="auto"/>
        <w:jc w:val="center"/>
        <w:rPr>
          <w:rFonts w:ascii="Arial" w:eastAsia="Arial" w:hAnsi="Arial" w:cs="Arial"/>
          <w:b/>
          <w:bCs/>
          <w:sz w:val="20"/>
          <w:szCs w:val="20"/>
        </w:rPr>
      </w:pPr>
      <w:r>
        <w:rPr>
          <w:rFonts w:ascii="Arial" w:eastAsia="Arial" w:hAnsi="Arial" w:cs="Arial"/>
          <w:b/>
          <w:bCs/>
          <w:sz w:val="20"/>
          <w:szCs w:val="20"/>
        </w:rPr>
        <w:t>RESPUESTA OBSERVACIONES</w:t>
      </w:r>
    </w:p>
    <w:p w14:paraId="27908878" w14:textId="77777777" w:rsidR="00BE6367" w:rsidRDefault="00BE6367" w:rsidP="00AA7016">
      <w:pPr>
        <w:spacing w:after="0" w:line="240" w:lineRule="auto"/>
        <w:jc w:val="center"/>
        <w:rPr>
          <w:rFonts w:ascii="Arial" w:eastAsia="Arial" w:hAnsi="Arial" w:cs="Arial"/>
          <w:b/>
          <w:bCs/>
          <w:sz w:val="20"/>
          <w:szCs w:val="20"/>
        </w:rPr>
      </w:pPr>
    </w:p>
    <w:p w14:paraId="6ED01AAA" w14:textId="77777777" w:rsidR="00BE6367" w:rsidRDefault="00C90F6A" w:rsidP="00AA7016">
      <w:pPr>
        <w:spacing w:after="0" w:line="240" w:lineRule="auto"/>
        <w:jc w:val="center"/>
        <w:rPr>
          <w:rFonts w:ascii="Arial" w:eastAsia="Arial" w:hAnsi="Arial" w:cs="Arial"/>
          <w:b/>
          <w:bCs/>
          <w:sz w:val="20"/>
          <w:szCs w:val="20"/>
        </w:rPr>
      </w:pPr>
      <w:r>
        <w:rPr>
          <w:rFonts w:ascii="Arial" w:eastAsia="Arial" w:hAnsi="Arial" w:cs="Arial"/>
          <w:b/>
          <w:bCs/>
          <w:sz w:val="20"/>
          <w:szCs w:val="20"/>
        </w:rPr>
        <w:t>BOLETÍN RUEDA SELECCIÓN No. 1616</w:t>
      </w:r>
    </w:p>
    <w:p w14:paraId="409BD901" w14:textId="77777777" w:rsidR="00BE6367" w:rsidRDefault="00BE6367" w:rsidP="00AA7016">
      <w:pPr>
        <w:spacing w:after="0" w:line="240" w:lineRule="auto"/>
        <w:jc w:val="center"/>
        <w:rPr>
          <w:rFonts w:ascii="Arial" w:eastAsia="Arial" w:hAnsi="Arial" w:cs="Arial"/>
          <w:b/>
          <w:bCs/>
          <w:sz w:val="20"/>
          <w:szCs w:val="20"/>
        </w:rPr>
      </w:pPr>
    </w:p>
    <w:p w14:paraId="35E0CEE9" w14:textId="77777777" w:rsidR="00BE6367" w:rsidRDefault="00BE6367">
      <w:pPr>
        <w:spacing w:after="0" w:line="240" w:lineRule="auto"/>
        <w:jc w:val="both"/>
        <w:rPr>
          <w:rFonts w:ascii="Arial" w:eastAsia="Arial" w:hAnsi="Arial" w:cs="Arial"/>
          <w:b/>
          <w:bCs/>
          <w:sz w:val="20"/>
          <w:szCs w:val="20"/>
        </w:rPr>
      </w:pPr>
    </w:p>
    <w:p w14:paraId="0C6E886E" w14:textId="77777777" w:rsidR="00BE6367" w:rsidRDefault="00BE6367">
      <w:pPr>
        <w:spacing w:after="0" w:line="240" w:lineRule="auto"/>
        <w:jc w:val="both"/>
        <w:rPr>
          <w:rFonts w:ascii="Arial" w:eastAsia="Arial" w:hAnsi="Arial" w:cs="Arial"/>
          <w:b/>
          <w:bCs/>
          <w:sz w:val="20"/>
          <w:szCs w:val="20"/>
        </w:rPr>
      </w:pPr>
    </w:p>
    <w:tbl>
      <w:tblPr>
        <w:tblStyle w:val="a"/>
        <w:tblW w:w="8353" w:type="dxa"/>
        <w:tblInd w:w="0"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1570"/>
        <w:gridCol w:w="6783"/>
      </w:tblGrid>
      <w:tr w:rsidR="00BE6367" w14:paraId="06639F29"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077497E4"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Sociedad C. B.:</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1EF3B496"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COMIAGRO S.A.</w:t>
            </w:r>
          </w:p>
        </w:tc>
      </w:tr>
      <w:tr w:rsidR="00BE6367" w14:paraId="7407F921"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36DD9201"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Fecha Registro:</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6D370D59"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2026-07-08 (11:04)</w:t>
            </w:r>
          </w:p>
        </w:tc>
      </w:tr>
    </w:tbl>
    <w:p w14:paraId="70ED531B" w14:textId="77777777" w:rsidR="00BE6367" w:rsidRDefault="00BE6367">
      <w:pPr>
        <w:jc w:val="both"/>
        <w:rPr>
          <w:rFonts w:ascii="Arial" w:eastAsia="Arial" w:hAnsi="Arial" w:cs="Arial"/>
          <w:b/>
          <w:bCs/>
          <w:sz w:val="20"/>
          <w:szCs w:val="20"/>
        </w:rPr>
      </w:pPr>
    </w:p>
    <w:p w14:paraId="5B9A3735"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Documento de Condiciones Especiales (DCE)</w:t>
      </w:r>
    </w:p>
    <w:p w14:paraId="4644C498" w14:textId="77777777" w:rsidR="00BE6367" w:rsidRDefault="00BE6367">
      <w:pPr>
        <w:jc w:val="both"/>
        <w:rPr>
          <w:rFonts w:ascii="Arial" w:eastAsia="Arial" w:hAnsi="Arial" w:cs="Arial"/>
          <w:sz w:val="20"/>
          <w:szCs w:val="20"/>
        </w:rPr>
      </w:pPr>
    </w:p>
    <w:p w14:paraId="5736DAFA"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6E7B87E7"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14199604"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349CDCEA" w14:textId="77777777" w:rsidR="00BE6367" w:rsidRDefault="00BE6367">
      <w:pPr>
        <w:jc w:val="both"/>
        <w:rPr>
          <w:rFonts w:ascii="Arial" w:eastAsia="Arial" w:hAnsi="Arial" w:cs="Arial"/>
          <w:sz w:val="20"/>
          <w:szCs w:val="20"/>
        </w:rPr>
      </w:pPr>
    </w:p>
    <w:p w14:paraId="00D3BF19" w14:textId="77777777" w:rsidR="00BE6367" w:rsidRDefault="00BE6367">
      <w:pPr>
        <w:jc w:val="both"/>
        <w:rPr>
          <w:rFonts w:ascii="Arial" w:eastAsia="Arial" w:hAnsi="Arial" w:cs="Arial"/>
          <w:sz w:val="20"/>
          <w:szCs w:val="20"/>
        </w:rPr>
      </w:pPr>
    </w:p>
    <w:p w14:paraId="5656DD80"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 xml:space="preserve">Documento(s) Adjunto(s): </w:t>
      </w:r>
    </w:p>
    <w:p w14:paraId="5D7C52EA" w14:textId="77777777" w:rsidR="00BE6367" w:rsidRDefault="00BE6367">
      <w:pPr>
        <w:jc w:val="both"/>
        <w:rPr>
          <w:rFonts w:ascii="Arial" w:eastAsia="Arial" w:hAnsi="Arial" w:cs="Arial"/>
          <w:sz w:val="20"/>
          <w:szCs w:val="20"/>
        </w:rPr>
      </w:pPr>
    </w:p>
    <w:p w14:paraId="0585B108" w14:textId="77777777" w:rsidR="00BE6367" w:rsidRDefault="00BE6367">
      <w:pPr>
        <w:jc w:val="both"/>
        <w:rPr>
          <w:rFonts w:ascii="Arial" w:eastAsia="Arial" w:hAnsi="Arial" w:cs="Arial"/>
          <w:sz w:val="20"/>
          <w:szCs w:val="20"/>
        </w:rPr>
      </w:pPr>
    </w:p>
    <w:p w14:paraId="74E52119" w14:textId="77777777" w:rsidR="00BE6367" w:rsidRDefault="00BE6367">
      <w:pPr>
        <w:jc w:val="both"/>
        <w:rPr>
          <w:rFonts w:ascii="Arial" w:eastAsia="Arial" w:hAnsi="Arial" w:cs="Arial"/>
          <w:sz w:val="20"/>
          <w:szCs w:val="20"/>
        </w:rPr>
      </w:pPr>
    </w:p>
    <w:p w14:paraId="1533A7D5"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Ficha Técnica de Negociación</w:t>
      </w:r>
    </w:p>
    <w:p w14:paraId="79BA51A5" w14:textId="77777777" w:rsidR="00BE6367" w:rsidRDefault="00BE6367">
      <w:pPr>
        <w:jc w:val="both"/>
        <w:rPr>
          <w:rFonts w:ascii="Arial" w:eastAsia="Arial" w:hAnsi="Arial" w:cs="Arial"/>
          <w:sz w:val="20"/>
          <w:szCs w:val="20"/>
        </w:rPr>
      </w:pPr>
    </w:p>
    <w:p w14:paraId="7BDB1AC7" w14:textId="77777777" w:rsidR="00BE6367" w:rsidRDefault="00BE6367">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p>
    <w:p w14:paraId="1F9F3D9B" w14:textId="77777777" w:rsidR="00BE6367" w:rsidRDefault="00C90F6A">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r>
        <w:rPr>
          <w:rFonts w:ascii="Arial" w:eastAsia="Arial" w:hAnsi="Arial" w:cs="Arial"/>
          <w:sz w:val="20"/>
          <w:szCs w:val="20"/>
        </w:rPr>
        <w:t>ADJUNTO</w:t>
      </w:r>
    </w:p>
    <w:p w14:paraId="3B0B19C8" w14:textId="77777777" w:rsidR="00BE6367" w:rsidRDefault="00BE6367">
      <w:pPr>
        <w:jc w:val="both"/>
        <w:rPr>
          <w:rFonts w:ascii="Arial" w:eastAsia="Arial" w:hAnsi="Arial" w:cs="Arial"/>
          <w:sz w:val="20"/>
          <w:szCs w:val="20"/>
        </w:rPr>
      </w:pPr>
    </w:p>
    <w:p w14:paraId="33E8E985" w14:textId="77777777" w:rsidR="00BE6367" w:rsidRDefault="00BE6367">
      <w:pPr>
        <w:jc w:val="both"/>
        <w:rPr>
          <w:rFonts w:ascii="Arial" w:eastAsia="Arial" w:hAnsi="Arial" w:cs="Arial"/>
          <w:sz w:val="20"/>
          <w:szCs w:val="20"/>
        </w:rPr>
      </w:pPr>
    </w:p>
    <w:p w14:paraId="09536152"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Documento(s) Adjunto(s): Sí</w:t>
      </w:r>
    </w:p>
    <w:p w14:paraId="5EC93DA3" w14:textId="77777777" w:rsidR="00BE6367" w:rsidRDefault="00BE6367">
      <w:pPr>
        <w:jc w:val="both"/>
        <w:rPr>
          <w:rFonts w:ascii="Arial" w:eastAsia="Arial" w:hAnsi="Arial" w:cs="Arial"/>
          <w:sz w:val="20"/>
          <w:szCs w:val="20"/>
        </w:rPr>
      </w:pPr>
    </w:p>
    <w:p w14:paraId="694E6E8E"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OBSERVACIONES PANTALLA INTERACTIVA 136” – TIPO PANEL LED PLEGABLE </w:t>
      </w:r>
    </w:p>
    <w:p w14:paraId="00F41D59"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1. Solicita a la entidad modificar este requerimiento a "Mínimo 2 puertos USB" o, en su defecto, permitir el cumplimiento de los 4 puertos mediante la inclusión de un concentrador (Hub) USB externo en la entrega del equipo, argumentando la optimización de los diseños de hardware actuales.</w:t>
      </w:r>
    </w:p>
    <w:p w14:paraId="3016980E" w14:textId="77777777" w:rsidR="00BE6367" w:rsidRDefault="00C90F6A">
      <w:pPr>
        <w:spacing w:after="0"/>
        <w:jc w:val="both"/>
        <w:rPr>
          <w:rFonts w:ascii="Arial" w:eastAsia="Arial" w:hAnsi="Arial" w:cs="Arial"/>
          <w:b/>
          <w:bCs/>
          <w:sz w:val="20"/>
          <w:szCs w:val="20"/>
        </w:rPr>
      </w:pPr>
      <w:r>
        <w:rPr>
          <w:rFonts w:ascii="Arial" w:eastAsia="Arial" w:hAnsi="Arial" w:cs="Arial"/>
          <w:b/>
          <w:bCs/>
          <w:sz w:val="20"/>
          <w:szCs w:val="20"/>
        </w:rPr>
        <w:t>RESPUESTA A OBSERVACIÓN:</w:t>
      </w:r>
    </w:p>
    <w:p w14:paraId="6DD417D1" w14:textId="77777777" w:rsidR="00BE6367" w:rsidRDefault="00BE6367">
      <w:pPr>
        <w:spacing w:after="0"/>
        <w:jc w:val="both"/>
        <w:rPr>
          <w:rFonts w:ascii="Arial" w:eastAsia="Arial" w:hAnsi="Arial" w:cs="Arial"/>
          <w:b/>
          <w:bCs/>
          <w:sz w:val="20"/>
          <w:szCs w:val="20"/>
        </w:rPr>
      </w:pPr>
    </w:p>
    <w:p w14:paraId="7CA2A43F" w14:textId="77777777" w:rsidR="00BE6367" w:rsidRDefault="00C90F6A">
      <w:pPr>
        <w:jc w:val="both"/>
        <w:rPr>
          <w:rFonts w:ascii="Arial" w:eastAsia="Arial" w:hAnsi="Arial" w:cs="Arial"/>
          <w:sz w:val="20"/>
          <w:szCs w:val="20"/>
        </w:rPr>
      </w:pPr>
      <w:r>
        <w:rPr>
          <w:rFonts w:ascii="Arial" w:eastAsia="Arial" w:hAnsi="Arial" w:cs="Arial"/>
          <w:sz w:val="20"/>
          <w:szCs w:val="20"/>
        </w:rPr>
        <w:t>La Entidad acepta parcialmente la observación. No se accede a reducir el requerimiento a un mínimo de 2 puertos USB, por cuanto la disponibilidad de 4 puertos responde a las necesidades funcionales identificadas por la Entidad para garantizar la conectividad simultánea de los dispositivos periféricos requeridos en la operación de la pantalla interactiva.</w:t>
      </w:r>
    </w:p>
    <w:p w14:paraId="0683FC1A" w14:textId="77777777" w:rsidR="00BE6367" w:rsidRDefault="00C90F6A">
      <w:pPr>
        <w:jc w:val="both"/>
        <w:rPr>
          <w:rFonts w:ascii="Arial" w:eastAsia="Arial" w:hAnsi="Arial" w:cs="Arial"/>
          <w:sz w:val="20"/>
          <w:szCs w:val="20"/>
        </w:rPr>
      </w:pPr>
      <w:r>
        <w:rPr>
          <w:rFonts w:ascii="Arial" w:eastAsia="Arial" w:hAnsi="Arial" w:cs="Arial"/>
          <w:sz w:val="20"/>
          <w:szCs w:val="20"/>
        </w:rPr>
        <w:t>No obstante, se acoge la alternativa propuesta por el observante, en el sentido de permitir que el cumplimiento del requisito de 4 puertos USB se logre mediante la incorporación de un concentrador (Hub) USB externo, siempre que éste sea suministrado junto con el equipo, forme parte integral de la solución ofertada y garantice la plena funcionalidad, estabilidad y compatibilidad exigidas para el uso previsto del panel.</w:t>
      </w:r>
    </w:p>
    <w:p w14:paraId="106B24A0" w14:textId="77777777" w:rsidR="00BE6367" w:rsidRDefault="00C90F6A">
      <w:pPr>
        <w:jc w:val="both"/>
        <w:rPr>
          <w:rFonts w:ascii="Arial" w:eastAsia="Arial" w:hAnsi="Arial" w:cs="Arial"/>
          <w:sz w:val="20"/>
          <w:szCs w:val="20"/>
        </w:rPr>
      </w:pPr>
      <w:r>
        <w:rPr>
          <w:rFonts w:ascii="Arial" w:eastAsia="Arial" w:hAnsi="Arial" w:cs="Arial"/>
          <w:sz w:val="20"/>
          <w:szCs w:val="20"/>
        </w:rPr>
        <w:t>En consecuencia, la ficha técnica será ajustada para precisar que el requisito de “mínimo 4 puertos USB” podrá cumplirse de manera nativa en el equipo o mediante Hub USB externo incluido en la entrega, sin que ello modifique el estándar funcional exigido por la Entidad.</w:t>
      </w:r>
    </w:p>
    <w:p w14:paraId="7968C3EC" w14:textId="77777777" w:rsidR="00BE6367" w:rsidRDefault="00BE6367">
      <w:pPr>
        <w:jc w:val="both"/>
        <w:rPr>
          <w:rFonts w:ascii="Arial" w:eastAsia="Arial" w:hAnsi="Arial" w:cs="Arial"/>
          <w:sz w:val="20"/>
          <w:szCs w:val="20"/>
        </w:rPr>
      </w:pPr>
    </w:p>
    <w:p w14:paraId="43311E9C" w14:textId="77777777" w:rsidR="00BE6367" w:rsidRDefault="00C90F6A">
      <w:pPr>
        <w:jc w:val="both"/>
        <w:rPr>
          <w:rFonts w:ascii="Arial" w:eastAsia="Arial" w:hAnsi="Arial" w:cs="Arial"/>
          <w:b/>
          <w:bCs/>
          <w:sz w:val="20"/>
          <w:szCs w:val="20"/>
        </w:rPr>
      </w:pPr>
      <w:r>
        <w:rPr>
          <w:rFonts w:ascii="Arial" w:eastAsia="Arial" w:hAnsi="Arial" w:cs="Arial"/>
          <w:sz w:val="20"/>
          <w:szCs w:val="20"/>
        </w:rPr>
        <w:t>2. Solicita cambiar el término "Wi-Fi 6" por "Wi-Fi de doble banda (2.4 GHz y 5 GHz) o superior", para garantizar la participación de múltiples tecnologías de conectividad inalámbrica de alta velocidad sin cerrar el mercado de forma exclusiva.</w:t>
      </w:r>
    </w:p>
    <w:p w14:paraId="4E701379" w14:textId="77777777" w:rsidR="00BE6367" w:rsidRDefault="00C90F6A">
      <w:pPr>
        <w:spacing w:after="0"/>
        <w:jc w:val="both"/>
        <w:rPr>
          <w:rFonts w:ascii="Arial" w:eastAsia="Arial" w:hAnsi="Arial" w:cs="Arial"/>
          <w:b/>
          <w:bCs/>
          <w:sz w:val="20"/>
          <w:szCs w:val="20"/>
        </w:rPr>
      </w:pPr>
      <w:r>
        <w:rPr>
          <w:rFonts w:ascii="Arial" w:eastAsia="Arial" w:hAnsi="Arial" w:cs="Arial"/>
          <w:b/>
          <w:bCs/>
          <w:sz w:val="20"/>
          <w:szCs w:val="20"/>
        </w:rPr>
        <w:t>RESPUESTA A OBSERVACIÓN:</w:t>
      </w:r>
    </w:p>
    <w:p w14:paraId="3CA7E9C4" w14:textId="77777777" w:rsidR="00BE6367" w:rsidRDefault="00BE6367">
      <w:pPr>
        <w:spacing w:after="0"/>
        <w:jc w:val="both"/>
        <w:rPr>
          <w:rFonts w:ascii="Arial" w:eastAsia="Arial" w:hAnsi="Arial" w:cs="Arial"/>
          <w:b/>
          <w:bCs/>
          <w:sz w:val="20"/>
          <w:szCs w:val="20"/>
        </w:rPr>
      </w:pPr>
    </w:p>
    <w:p w14:paraId="10BFD1C2" w14:textId="77777777" w:rsidR="00BE6367" w:rsidRDefault="00C90F6A">
      <w:pPr>
        <w:jc w:val="both"/>
        <w:rPr>
          <w:rFonts w:ascii="Arial" w:eastAsia="Arial" w:hAnsi="Arial" w:cs="Arial"/>
          <w:sz w:val="20"/>
          <w:szCs w:val="20"/>
        </w:rPr>
      </w:pPr>
      <w:r>
        <w:rPr>
          <w:rFonts w:ascii="Arial" w:eastAsia="Arial" w:hAnsi="Arial" w:cs="Arial"/>
          <w:sz w:val="20"/>
          <w:szCs w:val="20"/>
        </w:rPr>
        <w:t>La Entidad acepta la observación. En aplicación del principio de libre concurrencia y selección objetiva consagrado en el artículo 5 de la Ley 1150 de 2007, y considerando que la funcionalidad requerida puede ser satisfecha por distintas tecnologías de conectividad inalámbrica, se modificará la ficha técnica para exigir “Wi-Fi de doble banda (2.4 GHz y 5 GHz) o superior”, en lugar de la referencia puntual a “Wi-Fi 6”.</w:t>
      </w:r>
    </w:p>
    <w:p w14:paraId="29DEB2E1"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Con el fin de preservar el estándar de desempeño requerido por la Entidad, el equipo ofertado deberá garantizar una conectividad estable y de alta velocidad, sin interrupciones que afecten su normal funcionamiento durante la operación del panel. </w:t>
      </w:r>
    </w:p>
    <w:p w14:paraId="5F812C71" w14:textId="77777777" w:rsidR="00BE6367" w:rsidRDefault="00C90F6A">
      <w:pPr>
        <w:jc w:val="both"/>
        <w:rPr>
          <w:rFonts w:ascii="Arial" w:eastAsia="Arial" w:hAnsi="Arial" w:cs="Arial"/>
          <w:sz w:val="20"/>
          <w:szCs w:val="20"/>
        </w:rPr>
      </w:pPr>
      <w:r>
        <w:rPr>
          <w:rFonts w:ascii="Arial" w:eastAsia="Arial" w:hAnsi="Arial" w:cs="Arial"/>
          <w:sz w:val="20"/>
          <w:szCs w:val="20"/>
        </w:rPr>
        <w:t>En consecuencia, la ficha técnica será ajustada para reflejar el nuevo requerimiento, sin que ello implique una disminución del estándar funcional exigido por la Entidad.</w:t>
      </w:r>
    </w:p>
    <w:p w14:paraId="7992C88F" w14:textId="77777777" w:rsidR="00BE6367" w:rsidRDefault="00C90F6A">
      <w:pPr>
        <w:jc w:val="both"/>
        <w:rPr>
          <w:rFonts w:ascii="Arial" w:eastAsia="Arial" w:hAnsi="Arial" w:cs="Arial"/>
          <w:sz w:val="20"/>
          <w:szCs w:val="20"/>
        </w:rPr>
      </w:pPr>
      <w:r>
        <w:rPr>
          <w:rFonts w:ascii="Arial" w:eastAsia="Arial" w:hAnsi="Arial" w:cs="Arial"/>
          <w:sz w:val="20"/>
          <w:szCs w:val="20"/>
        </w:rPr>
        <w:t>3. Solicita a la entidad eliminar la obligatoriedad de los puertos RS232 y SPDIF, o bien permitir que estas salidas/entradas se puedan suplir a través de adaptadores o convertidores externos conectados a los puertos HDMI o USB de la pantalla.</w:t>
      </w:r>
    </w:p>
    <w:p w14:paraId="0F250A2B" w14:textId="77777777" w:rsidR="00BE6367" w:rsidRDefault="00C90F6A">
      <w:pPr>
        <w:spacing w:after="0"/>
        <w:jc w:val="both"/>
        <w:rPr>
          <w:rFonts w:ascii="Arial" w:eastAsia="Arial" w:hAnsi="Arial" w:cs="Arial"/>
          <w:b/>
          <w:bCs/>
          <w:sz w:val="20"/>
          <w:szCs w:val="20"/>
        </w:rPr>
      </w:pPr>
      <w:r>
        <w:rPr>
          <w:rFonts w:ascii="Arial" w:eastAsia="Arial" w:hAnsi="Arial" w:cs="Arial"/>
          <w:b/>
          <w:bCs/>
          <w:sz w:val="20"/>
          <w:szCs w:val="20"/>
        </w:rPr>
        <w:t>RESPUESTA A OBSERVACIÓN:</w:t>
      </w:r>
    </w:p>
    <w:p w14:paraId="1B03BC9C" w14:textId="77777777" w:rsidR="00BE6367" w:rsidRDefault="00BE6367">
      <w:pPr>
        <w:spacing w:after="0"/>
        <w:jc w:val="both"/>
        <w:rPr>
          <w:rFonts w:ascii="Arial" w:eastAsia="Arial" w:hAnsi="Arial" w:cs="Arial"/>
          <w:b/>
          <w:bCs/>
          <w:sz w:val="20"/>
          <w:szCs w:val="20"/>
        </w:rPr>
      </w:pPr>
    </w:p>
    <w:p w14:paraId="79676DDB" w14:textId="77777777" w:rsidR="00BE6367" w:rsidRDefault="00C90F6A">
      <w:pPr>
        <w:jc w:val="both"/>
        <w:rPr>
          <w:rFonts w:ascii="Arial" w:eastAsia="Arial" w:hAnsi="Arial" w:cs="Arial"/>
          <w:sz w:val="20"/>
          <w:szCs w:val="20"/>
        </w:rPr>
      </w:pPr>
      <w:r>
        <w:rPr>
          <w:rFonts w:ascii="Arial" w:eastAsia="Arial" w:hAnsi="Arial" w:cs="Arial"/>
          <w:sz w:val="20"/>
          <w:szCs w:val="20"/>
        </w:rPr>
        <w:t>La Entidad acepta parcialmente la observación. No se accede a la eliminación total del requerimiento de contar con interfaces RS232 y SPDIF, por cuanto dichas conexiones responden a necesidades de la Entidad.</w:t>
      </w:r>
    </w:p>
    <w:p w14:paraId="0FEE6BD0"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No obstante, se acoge la alternativa propuesta por el observante, en el sentido de permitir que dichas interfaces sean suplidas mediante adaptadores o convertidores externos conectados a los puertos HDMI o USB de la pantalla, siempre que estos sean suministrados junto con el equipo, formen parte integral de la solución ofertada y garanticen la plena funcionalidad, estabilidad y compatibilidad exigidas para los fines previstos por la Entidad.</w:t>
      </w:r>
    </w:p>
    <w:p w14:paraId="48AACAC7" w14:textId="77777777" w:rsidR="00BE6367" w:rsidRDefault="00C90F6A">
      <w:pPr>
        <w:jc w:val="both"/>
        <w:rPr>
          <w:rFonts w:ascii="Arial" w:eastAsia="Arial" w:hAnsi="Arial" w:cs="Arial"/>
          <w:sz w:val="20"/>
          <w:szCs w:val="20"/>
        </w:rPr>
      </w:pPr>
      <w:r>
        <w:rPr>
          <w:rFonts w:ascii="Arial" w:eastAsia="Arial" w:hAnsi="Arial" w:cs="Arial"/>
          <w:sz w:val="20"/>
          <w:szCs w:val="20"/>
        </w:rPr>
        <w:t>En consecuencia, la ficha técnica será ajustada para precisar que el cumplimiento de los requisitos de conectividad RS232 y SPDIF podrá lograrse de manera nativa en el equipo o mediante adaptadores o convertidores externos incluidos en la entrega, sin que ello modifique el estándar funcional exigido por la Entidad.</w:t>
      </w:r>
    </w:p>
    <w:p w14:paraId="5B320151"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4. Solicita a la entidad aclarar o modificar el objeto de la ficha técnica para que se acepten "Pantallas de tecnología LED modular con soporte de instalación fijo o móvil", suprimiendo la exigencia restrictiva de que el panel deba ser "plegable", puesto que esto limita la libre concurrencia a un solo diseño patentado por ciertos fabricantes. </w:t>
      </w:r>
    </w:p>
    <w:p w14:paraId="28697624" w14:textId="77777777" w:rsidR="00BE6367" w:rsidRDefault="00C90F6A">
      <w:pPr>
        <w:spacing w:after="0"/>
        <w:jc w:val="both"/>
        <w:rPr>
          <w:rFonts w:ascii="Arial" w:eastAsia="Arial" w:hAnsi="Arial" w:cs="Arial"/>
          <w:b/>
          <w:bCs/>
          <w:sz w:val="20"/>
          <w:szCs w:val="20"/>
        </w:rPr>
      </w:pPr>
      <w:r>
        <w:rPr>
          <w:rFonts w:ascii="Arial" w:eastAsia="Arial" w:hAnsi="Arial" w:cs="Arial"/>
          <w:b/>
          <w:bCs/>
          <w:sz w:val="20"/>
          <w:szCs w:val="20"/>
        </w:rPr>
        <w:t>RESPUESTA A OBSERVACIÓN:</w:t>
      </w:r>
    </w:p>
    <w:p w14:paraId="70E60443" w14:textId="77777777" w:rsidR="00BE6367" w:rsidRDefault="00BE6367">
      <w:pPr>
        <w:spacing w:after="0"/>
        <w:jc w:val="both"/>
        <w:rPr>
          <w:rFonts w:ascii="Arial" w:eastAsia="Arial" w:hAnsi="Arial" w:cs="Arial"/>
          <w:b/>
          <w:bCs/>
          <w:sz w:val="20"/>
          <w:szCs w:val="20"/>
        </w:rPr>
      </w:pPr>
    </w:p>
    <w:p w14:paraId="433E7F97" w14:textId="77777777" w:rsidR="00BE6367" w:rsidRDefault="00C90F6A">
      <w:pPr>
        <w:spacing w:after="0"/>
        <w:jc w:val="both"/>
        <w:rPr>
          <w:rFonts w:ascii="Arial" w:eastAsia="Arial" w:hAnsi="Arial" w:cs="Arial"/>
          <w:sz w:val="20"/>
          <w:szCs w:val="20"/>
        </w:rPr>
      </w:pPr>
      <w:r>
        <w:rPr>
          <w:rFonts w:ascii="Arial" w:eastAsia="Arial" w:hAnsi="Arial" w:cs="Arial"/>
          <w:sz w:val="20"/>
          <w:szCs w:val="20"/>
        </w:rPr>
        <w:t>No se acepta la observación. La exigencia de que el panel sea de tipo plegable obedece a las necesidades técnicas y operativas específicas identificadas por la Entidad en la etapa de planeación del proceso, particularmente en lo relacionado con facilidad de transporte, almacenamiento, instalación en espacios de uso múltiple y/o rotación del equipo entre distintas dependencias o eventos.</w:t>
      </w:r>
    </w:p>
    <w:p w14:paraId="4FB1AA6F" w14:textId="77777777" w:rsidR="00BE6367" w:rsidRDefault="00BE6367">
      <w:pPr>
        <w:spacing w:after="0"/>
        <w:jc w:val="both"/>
        <w:rPr>
          <w:rFonts w:ascii="Arial" w:eastAsia="Arial" w:hAnsi="Arial" w:cs="Arial"/>
          <w:sz w:val="20"/>
          <w:szCs w:val="20"/>
        </w:rPr>
      </w:pPr>
    </w:p>
    <w:p w14:paraId="6DE43159" w14:textId="77777777" w:rsidR="00BE6367" w:rsidRDefault="00C90F6A">
      <w:pPr>
        <w:spacing w:after="0"/>
        <w:jc w:val="both"/>
        <w:rPr>
          <w:rFonts w:ascii="Arial" w:eastAsia="Arial" w:hAnsi="Arial" w:cs="Arial"/>
          <w:sz w:val="20"/>
          <w:szCs w:val="20"/>
        </w:rPr>
      </w:pPr>
      <w:r>
        <w:rPr>
          <w:rFonts w:ascii="Arial" w:eastAsia="Arial" w:hAnsi="Arial" w:cs="Arial"/>
          <w:sz w:val="20"/>
          <w:szCs w:val="20"/>
        </w:rPr>
        <w:t>Frente a la afirmación del observante según la cual el diseño plegable correspondería a una tecnología patentada por determinados fabricantes, la Entidad precisa que dicha condición no fue definida en función de una marca, modelo o fabricante específico, sino en atención a una característica funcional la posibilidad de plegado que puede ser satisfecha por múltiples proveedores del mercado, tal como lo evidencia el análisis de sector realizado previo a la estructuración del presente proceso. En consecuencia, no se configura una restricción indebida a la libre concurrencia, en la medida en que la especificación técnica responde a un criterio de funcionalidad y no a la exclusividad de un desarrollo patentado.</w:t>
      </w:r>
    </w:p>
    <w:p w14:paraId="6646190B" w14:textId="77777777" w:rsidR="00BE6367" w:rsidRDefault="00BE6367">
      <w:pPr>
        <w:spacing w:after="0"/>
        <w:jc w:val="both"/>
        <w:rPr>
          <w:rFonts w:ascii="Arial" w:eastAsia="Arial" w:hAnsi="Arial" w:cs="Arial"/>
          <w:sz w:val="20"/>
          <w:szCs w:val="20"/>
        </w:rPr>
      </w:pPr>
    </w:p>
    <w:p w14:paraId="2A3BA2A0" w14:textId="77777777" w:rsidR="00BE6367" w:rsidRDefault="00C90F6A">
      <w:pPr>
        <w:spacing w:after="0"/>
        <w:jc w:val="both"/>
        <w:rPr>
          <w:rFonts w:ascii="Arial" w:eastAsia="Arial" w:hAnsi="Arial" w:cs="Arial"/>
          <w:sz w:val="20"/>
          <w:szCs w:val="20"/>
        </w:rPr>
      </w:pPr>
      <w:r>
        <w:rPr>
          <w:rFonts w:ascii="Arial" w:eastAsia="Arial" w:hAnsi="Arial" w:cs="Arial"/>
          <w:sz w:val="20"/>
          <w:szCs w:val="20"/>
        </w:rPr>
        <w:t>Por lo anterior, se mantiene la exigencia de panel plegable en los términos definidos en la ficha técnica.</w:t>
      </w:r>
    </w:p>
    <w:p w14:paraId="4CDA8F9E" w14:textId="77777777" w:rsidR="00BE6367" w:rsidRDefault="00BE6367">
      <w:pPr>
        <w:spacing w:after="0"/>
        <w:jc w:val="both"/>
        <w:rPr>
          <w:rFonts w:ascii="Arial" w:eastAsia="Arial" w:hAnsi="Arial" w:cs="Arial"/>
          <w:b/>
          <w:bCs/>
          <w:sz w:val="20"/>
          <w:szCs w:val="20"/>
        </w:rPr>
      </w:pPr>
    </w:p>
    <w:p w14:paraId="77C482C7"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OBSERVACIONES PANTALLA INTERACTIVA 65”</w:t>
      </w:r>
    </w:p>
    <w:p w14:paraId="48D9F917" w14:textId="77777777" w:rsidR="00BE6367" w:rsidRDefault="00C90F6A">
      <w:pPr>
        <w:numPr>
          <w:ilvl w:val="0"/>
          <w:numId w:val="1"/>
        </w:num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color w:val="000000"/>
          <w:sz w:val="20"/>
          <w:szCs w:val="20"/>
        </w:rPr>
        <w:t>Solicita cambiar la solicitud de  "Wi-Fi 6" por "Wi-Fi 5) o superior", para garantizar la participación de múltiples tecnologías de conectividad inalámbrica de alta velocidad sin cerrar el mercado de forma exclusiva.</w:t>
      </w:r>
    </w:p>
    <w:p w14:paraId="6D35B74D" w14:textId="77777777" w:rsidR="00BE6367" w:rsidRDefault="00BE6367">
      <w:pPr>
        <w:pBdr>
          <w:top w:val="nil"/>
          <w:left w:val="nil"/>
          <w:bottom w:val="nil"/>
          <w:right w:val="nil"/>
          <w:between w:val="nil"/>
        </w:pBdr>
        <w:spacing w:after="0"/>
        <w:jc w:val="both"/>
        <w:rPr>
          <w:rFonts w:ascii="Arial" w:eastAsia="Arial" w:hAnsi="Arial" w:cs="Arial"/>
          <w:sz w:val="20"/>
          <w:szCs w:val="20"/>
        </w:rPr>
      </w:pPr>
    </w:p>
    <w:p w14:paraId="40C5FDE8" w14:textId="77777777" w:rsidR="00BE6367" w:rsidRDefault="00BE6367">
      <w:pPr>
        <w:pBdr>
          <w:top w:val="nil"/>
          <w:left w:val="nil"/>
          <w:bottom w:val="nil"/>
          <w:right w:val="nil"/>
          <w:between w:val="nil"/>
        </w:pBdr>
        <w:spacing w:after="0"/>
        <w:jc w:val="both"/>
        <w:rPr>
          <w:rFonts w:ascii="Arial" w:eastAsia="Arial" w:hAnsi="Arial" w:cs="Arial"/>
          <w:sz w:val="20"/>
          <w:szCs w:val="20"/>
        </w:rPr>
      </w:pPr>
    </w:p>
    <w:p w14:paraId="06AA8DB8" w14:textId="77777777" w:rsidR="00BE6367" w:rsidRDefault="00BE6367">
      <w:pPr>
        <w:pBdr>
          <w:top w:val="nil"/>
          <w:left w:val="nil"/>
          <w:bottom w:val="nil"/>
          <w:right w:val="nil"/>
          <w:between w:val="nil"/>
        </w:pBdr>
        <w:spacing w:after="0"/>
        <w:jc w:val="both"/>
        <w:rPr>
          <w:rFonts w:ascii="Arial" w:eastAsia="Arial" w:hAnsi="Arial" w:cs="Arial"/>
          <w:sz w:val="20"/>
          <w:szCs w:val="20"/>
        </w:rPr>
      </w:pPr>
    </w:p>
    <w:p w14:paraId="580B768D"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4ACFED97" w14:textId="77777777" w:rsidR="00BE6367" w:rsidRDefault="00BE6367">
      <w:pPr>
        <w:pBdr>
          <w:top w:val="nil"/>
          <w:left w:val="nil"/>
          <w:bottom w:val="nil"/>
          <w:right w:val="nil"/>
          <w:between w:val="nil"/>
        </w:pBdr>
        <w:spacing w:after="0"/>
        <w:jc w:val="both"/>
        <w:rPr>
          <w:rFonts w:ascii="Arial" w:eastAsia="Arial" w:hAnsi="Arial" w:cs="Arial"/>
          <w:sz w:val="20"/>
          <w:szCs w:val="20"/>
        </w:rPr>
      </w:pPr>
    </w:p>
    <w:p w14:paraId="25DAA90D" w14:textId="77777777" w:rsidR="00BE6367" w:rsidRDefault="00C90F6A">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La Entidad acepta la observación. En aplicación del principio de libre concurrencia y selección objetiva consagrado en el artículo 5 de la Ley 1150 de 2007, y considerando que la funcionalidad requerida puede ser satisfecha por distintas tecnologías de conectividad inalámbrica, se modificará la ficha técnica para exigir “Wi-Fi de doble banda (2.4 GHz y 5 GHz) o superior”, en lugar de la referencia puntual a “Wi-Fi 6”.</w:t>
      </w:r>
    </w:p>
    <w:p w14:paraId="5094207A" w14:textId="77777777" w:rsidR="00BE6367" w:rsidRDefault="00BE6367">
      <w:pPr>
        <w:pBdr>
          <w:top w:val="nil"/>
          <w:left w:val="nil"/>
          <w:bottom w:val="nil"/>
          <w:right w:val="nil"/>
          <w:between w:val="nil"/>
        </w:pBdr>
        <w:spacing w:after="0"/>
        <w:jc w:val="both"/>
        <w:rPr>
          <w:rFonts w:ascii="Arial" w:eastAsia="Arial" w:hAnsi="Arial" w:cs="Arial"/>
          <w:sz w:val="20"/>
          <w:szCs w:val="20"/>
        </w:rPr>
      </w:pPr>
    </w:p>
    <w:p w14:paraId="5DAED078" w14:textId="77777777" w:rsidR="00BE6367" w:rsidRDefault="00C90F6A">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lastRenderedPageBreak/>
        <w:t xml:space="preserve">Con el fin de preservar el estándar de desempeño requerido por la Entidad, el equipo ofertado deberá garantizar una conectividad estable y de alta velocidad, sin interrupciones que afecten su normal funcionamiento durante la operación del panel. </w:t>
      </w:r>
    </w:p>
    <w:p w14:paraId="168077DE" w14:textId="77777777" w:rsidR="00BE6367" w:rsidRDefault="00BE6367">
      <w:pPr>
        <w:pBdr>
          <w:top w:val="nil"/>
          <w:left w:val="nil"/>
          <w:bottom w:val="nil"/>
          <w:right w:val="nil"/>
          <w:between w:val="nil"/>
        </w:pBdr>
        <w:spacing w:after="0"/>
        <w:jc w:val="both"/>
        <w:rPr>
          <w:rFonts w:ascii="Arial" w:eastAsia="Arial" w:hAnsi="Arial" w:cs="Arial"/>
          <w:sz w:val="20"/>
          <w:szCs w:val="20"/>
        </w:rPr>
      </w:pPr>
    </w:p>
    <w:p w14:paraId="5983452E" w14:textId="77777777" w:rsidR="00BE6367" w:rsidRDefault="00C90F6A">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En consecuencia, la ficha técnica será ajustada para reflejar el nuevo requerimiento, sin que ello implique una disminución del estándar funcional exigido por la Entidad.</w:t>
      </w:r>
    </w:p>
    <w:p w14:paraId="1C01E522" w14:textId="77777777" w:rsidR="00BE6367" w:rsidRDefault="00BE6367">
      <w:pPr>
        <w:pBdr>
          <w:top w:val="nil"/>
          <w:left w:val="nil"/>
          <w:bottom w:val="nil"/>
          <w:right w:val="nil"/>
          <w:between w:val="nil"/>
        </w:pBdr>
        <w:spacing w:after="0"/>
        <w:jc w:val="both"/>
        <w:rPr>
          <w:rFonts w:ascii="Arial" w:eastAsia="Arial" w:hAnsi="Arial" w:cs="Arial"/>
          <w:sz w:val="20"/>
          <w:szCs w:val="20"/>
        </w:rPr>
      </w:pPr>
    </w:p>
    <w:p w14:paraId="0FC000A7" w14:textId="77777777" w:rsidR="00BE6367" w:rsidRDefault="00C90F6A">
      <w:pPr>
        <w:numPr>
          <w:ilvl w:val="0"/>
          <w:numId w:val="1"/>
        </w:numPr>
        <w:pBdr>
          <w:top w:val="nil"/>
          <w:left w:val="nil"/>
          <w:bottom w:val="nil"/>
          <w:right w:val="nil"/>
          <w:between w:val="nil"/>
        </w:pBdr>
        <w:jc w:val="both"/>
        <w:rPr>
          <w:rFonts w:ascii="Arial" w:eastAsia="Arial" w:hAnsi="Arial" w:cs="Arial"/>
          <w:sz w:val="20"/>
          <w:szCs w:val="20"/>
        </w:rPr>
      </w:pPr>
      <w:r>
        <w:rPr>
          <w:rFonts w:ascii="Arial" w:eastAsia="Arial" w:hAnsi="Arial" w:cs="Arial"/>
          <w:color w:val="000000"/>
          <w:sz w:val="20"/>
          <w:szCs w:val="20"/>
        </w:rPr>
        <w:t>Se solicita amablemente a la entidad ampliar el requisito de la funcionalidad de IA "Smart Framing", permitiendo acreditar tecnologías equivalentes como Auto Framing, AI Framing, Intelligent Framing, Speaker Tracking, Presenter Tracking o similares, siempre que cumplan la misma finalidad funcional. Lo anterior con el fin de garantizar la pluralidad de oferentes, la libre concurrencia y la selección objetiva, evitando limitar la participación de fabricantes que implementan esta capacidad bajo diferentes denominaciones comerciales.</w:t>
      </w:r>
    </w:p>
    <w:p w14:paraId="53E5BC17"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2F6DABC1" w14:textId="77777777" w:rsidR="00BE6367" w:rsidRDefault="00BE6367">
      <w:pPr>
        <w:jc w:val="both"/>
        <w:rPr>
          <w:rFonts w:ascii="Arial" w:eastAsia="Arial" w:hAnsi="Arial" w:cs="Arial"/>
          <w:sz w:val="20"/>
          <w:szCs w:val="20"/>
        </w:rPr>
      </w:pPr>
    </w:p>
    <w:p w14:paraId="1D62C616" w14:textId="77777777" w:rsidR="00BE6367" w:rsidRDefault="00C90F6A">
      <w:pPr>
        <w:jc w:val="both"/>
        <w:rPr>
          <w:rFonts w:ascii="Arial" w:eastAsia="Arial" w:hAnsi="Arial" w:cs="Arial"/>
          <w:sz w:val="20"/>
          <w:szCs w:val="20"/>
        </w:rPr>
      </w:pPr>
      <w:r>
        <w:rPr>
          <w:rFonts w:ascii="Arial" w:eastAsia="Arial" w:hAnsi="Arial" w:cs="Arial"/>
          <w:sz w:val="20"/>
          <w:szCs w:val="20"/>
        </w:rPr>
        <w:t>Se acepta la observación. En aplicación de los principios de libre concurrencia y selección objetiva (art. 5 Ley 1150 de 2007), la Entidad admitirá la acreditación de la funcionalidad de encuadre automático mediante inteligencia artificial bajo cualquiera de las siguientes denominaciones comerciales, siempre que el proponente demuestre que cumplen la misma finalidad funcional exigida para “Smart Framing”: Auto Framing, AI Framing, Intelligent Framing, Speaker Tracking, Presenter Tracking, o tecnologías equivalentes que el proponente acredite mediante ficha técnica del fabricante.</w:t>
      </w:r>
    </w:p>
    <w:p w14:paraId="7155EB98" w14:textId="77777777" w:rsidR="00BE6367" w:rsidRDefault="00C90F6A">
      <w:pPr>
        <w:jc w:val="both"/>
        <w:rPr>
          <w:rFonts w:ascii="Arial" w:eastAsia="Arial" w:hAnsi="Arial" w:cs="Arial"/>
          <w:sz w:val="20"/>
          <w:szCs w:val="20"/>
        </w:rPr>
      </w:pPr>
      <w:r>
        <w:rPr>
          <w:rFonts w:ascii="Arial" w:eastAsia="Arial" w:hAnsi="Arial" w:cs="Arial"/>
          <w:sz w:val="20"/>
          <w:szCs w:val="20"/>
        </w:rPr>
        <w:t>La acreditación de la equivalencia funcional deberá efectuarse mediante la documentación técnica oficial del fabricante, en la que conste que la tecnología ofertada realiza el seguimiento y encuadre automático de la persona u objeto en escena, sin intervención manual del operador.</w:t>
      </w:r>
    </w:p>
    <w:p w14:paraId="083C0981" w14:textId="77777777" w:rsidR="00BE6367" w:rsidRDefault="00C90F6A">
      <w:pPr>
        <w:jc w:val="both"/>
        <w:rPr>
          <w:rFonts w:ascii="Arial" w:eastAsia="Arial" w:hAnsi="Arial" w:cs="Arial"/>
          <w:sz w:val="20"/>
          <w:szCs w:val="20"/>
        </w:rPr>
      </w:pPr>
      <w:r>
        <w:rPr>
          <w:rFonts w:ascii="Arial" w:eastAsia="Arial" w:hAnsi="Arial" w:cs="Arial"/>
          <w:sz w:val="20"/>
          <w:szCs w:val="20"/>
        </w:rPr>
        <w:t>En consecuencia, la ficha técnica será ajustada para reflejar que el requisito se entenderá satisfecho con cualquiera de las tecnologías anteriormente enunciadas o sus equivalentes funcionales debidamente acreditados.</w:t>
      </w:r>
    </w:p>
    <w:p w14:paraId="024540E8" w14:textId="77777777" w:rsidR="00BE6367" w:rsidRDefault="00BE6367">
      <w:pPr>
        <w:jc w:val="both"/>
        <w:rPr>
          <w:rFonts w:ascii="Arial" w:eastAsia="Arial" w:hAnsi="Arial" w:cs="Arial"/>
          <w:sz w:val="20"/>
          <w:szCs w:val="20"/>
        </w:rPr>
      </w:pPr>
    </w:p>
    <w:tbl>
      <w:tblPr>
        <w:tblStyle w:val="a0"/>
        <w:tblW w:w="8353" w:type="dxa"/>
        <w:tblInd w:w="0"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1570"/>
        <w:gridCol w:w="6783"/>
      </w:tblGrid>
      <w:tr w:rsidR="00BE6367" w14:paraId="352CCBA5"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35D7A9BF"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Sociedad C. B.:</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2D97D756"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COMIAGRO S.A.</w:t>
            </w:r>
          </w:p>
        </w:tc>
      </w:tr>
      <w:tr w:rsidR="00BE6367" w14:paraId="5AB0DA5A"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128D44C6"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Fecha Registro:</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50940C83"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2026-07-08 (19:17)</w:t>
            </w:r>
          </w:p>
        </w:tc>
      </w:tr>
    </w:tbl>
    <w:p w14:paraId="4DB58397" w14:textId="77777777" w:rsidR="00BE6367" w:rsidRDefault="00BE6367">
      <w:pPr>
        <w:jc w:val="both"/>
        <w:rPr>
          <w:rFonts w:ascii="Arial" w:eastAsia="Arial" w:hAnsi="Arial" w:cs="Arial"/>
          <w:b/>
          <w:bCs/>
          <w:sz w:val="20"/>
          <w:szCs w:val="20"/>
        </w:rPr>
      </w:pPr>
    </w:p>
    <w:p w14:paraId="478609FA"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Documento de Condiciones Especiales (DCE)</w:t>
      </w:r>
    </w:p>
    <w:p w14:paraId="7C3998A7" w14:textId="77777777" w:rsidR="00BE6367" w:rsidRDefault="00BE6367">
      <w:pPr>
        <w:jc w:val="both"/>
        <w:rPr>
          <w:rFonts w:ascii="Arial" w:eastAsia="Arial" w:hAnsi="Arial" w:cs="Arial"/>
          <w:sz w:val="20"/>
          <w:szCs w:val="20"/>
        </w:rPr>
      </w:pPr>
    </w:p>
    <w:p w14:paraId="48A240E5"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13A05F58"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0A7677C2"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7DDCF735" w14:textId="77777777" w:rsidR="00BE6367" w:rsidRDefault="00BE6367">
      <w:pPr>
        <w:jc w:val="both"/>
        <w:rPr>
          <w:rFonts w:ascii="Arial" w:eastAsia="Arial" w:hAnsi="Arial" w:cs="Arial"/>
          <w:sz w:val="20"/>
          <w:szCs w:val="20"/>
        </w:rPr>
      </w:pPr>
    </w:p>
    <w:p w14:paraId="2104B321" w14:textId="77777777" w:rsidR="00BE6367" w:rsidRDefault="00BE6367">
      <w:pPr>
        <w:jc w:val="both"/>
        <w:rPr>
          <w:rFonts w:ascii="Arial" w:eastAsia="Arial" w:hAnsi="Arial" w:cs="Arial"/>
          <w:sz w:val="20"/>
          <w:szCs w:val="20"/>
        </w:rPr>
      </w:pPr>
    </w:p>
    <w:p w14:paraId="4C58AAAA"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 xml:space="preserve">Documento(s) Adjunto(s): </w:t>
      </w:r>
    </w:p>
    <w:p w14:paraId="00982603" w14:textId="77777777" w:rsidR="00BE6367" w:rsidRDefault="00BE6367">
      <w:pPr>
        <w:jc w:val="both"/>
        <w:rPr>
          <w:rFonts w:ascii="Arial" w:eastAsia="Arial" w:hAnsi="Arial" w:cs="Arial"/>
          <w:sz w:val="20"/>
          <w:szCs w:val="20"/>
        </w:rPr>
      </w:pPr>
    </w:p>
    <w:p w14:paraId="67F6E3EE" w14:textId="77777777" w:rsidR="00BE6367" w:rsidRDefault="00BE6367">
      <w:pPr>
        <w:jc w:val="both"/>
        <w:rPr>
          <w:rFonts w:ascii="Arial" w:eastAsia="Arial" w:hAnsi="Arial" w:cs="Arial"/>
          <w:sz w:val="20"/>
          <w:szCs w:val="20"/>
        </w:rPr>
      </w:pPr>
    </w:p>
    <w:p w14:paraId="05930D10" w14:textId="77777777" w:rsidR="00BE6367" w:rsidRDefault="00BE6367">
      <w:pPr>
        <w:jc w:val="both"/>
        <w:rPr>
          <w:rFonts w:ascii="Arial" w:eastAsia="Arial" w:hAnsi="Arial" w:cs="Arial"/>
          <w:sz w:val="20"/>
          <w:szCs w:val="20"/>
        </w:rPr>
      </w:pPr>
    </w:p>
    <w:p w14:paraId="7568D775"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Ficha Técnica de Negociación</w:t>
      </w:r>
    </w:p>
    <w:p w14:paraId="521E89A1" w14:textId="77777777" w:rsidR="00BE6367" w:rsidRDefault="00BE6367">
      <w:pPr>
        <w:jc w:val="both"/>
        <w:rPr>
          <w:rFonts w:ascii="Arial" w:eastAsia="Arial" w:hAnsi="Arial" w:cs="Arial"/>
          <w:sz w:val="20"/>
          <w:szCs w:val="20"/>
        </w:rPr>
      </w:pPr>
    </w:p>
    <w:p w14:paraId="7892D581" w14:textId="77777777" w:rsidR="00BE6367" w:rsidRDefault="00BE6367">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p>
    <w:p w14:paraId="3415A4E8" w14:textId="77777777" w:rsidR="00BE6367" w:rsidRDefault="00C90F6A">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r>
        <w:rPr>
          <w:rFonts w:ascii="Arial" w:eastAsia="Arial" w:hAnsi="Arial" w:cs="Arial"/>
          <w:sz w:val="20"/>
          <w:szCs w:val="20"/>
        </w:rPr>
        <w:t>ADJUNTOS</w:t>
      </w:r>
    </w:p>
    <w:p w14:paraId="3D64399D" w14:textId="77777777" w:rsidR="00BE6367" w:rsidRDefault="00BE6367">
      <w:pPr>
        <w:jc w:val="both"/>
        <w:rPr>
          <w:rFonts w:ascii="Arial" w:eastAsia="Arial" w:hAnsi="Arial" w:cs="Arial"/>
          <w:sz w:val="20"/>
          <w:szCs w:val="20"/>
        </w:rPr>
      </w:pPr>
    </w:p>
    <w:p w14:paraId="49031400" w14:textId="77777777" w:rsidR="00BE6367" w:rsidRDefault="00BE6367">
      <w:pPr>
        <w:jc w:val="both"/>
        <w:rPr>
          <w:rFonts w:ascii="Arial" w:eastAsia="Arial" w:hAnsi="Arial" w:cs="Arial"/>
          <w:sz w:val="20"/>
          <w:szCs w:val="20"/>
        </w:rPr>
      </w:pPr>
    </w:p>
    <w:p w14:paraId="16232748"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Documento(s) Adjunto(s): Sí</w:t>
      </w:r>
    </w:p>
    <w:p w14:paraId="5DA6C27B" w14:textId="77777777" w:rsidR="00BE6367" w:rsidRDefault="00BE6367">
      <w:pPr>
        <w:jc w:val="both"/>
        <w:rPr>
          <w:rFonts w:ascii="Arial" w:eastAsia="Arial" w:hAnsi="Arial" w:cs="Arial"/>
          <w:sz w:val="20"/>
          <w:szCs w:val="20"/>
        </w:rPr>
      </w:pPr>
    </w:p>
    <w:p w14:paraId="617FD3E7"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OBSERVACIONES PANTALLA INTERACTIVA 136” – TIPO PANEL LED PLEGABLE </w:t>
      </w:r>
    </w:p>
    <w:p w14:paraId="7FF14258" w14:textId="77777777" w:rsidR="00BE6367" w:rsidRDefault="00C90F6A">
      <w:pPr>
        <w:jc w:val="both"/>
        <w:rPr>
          <w:rFonts w:ascii="Arial" w:eastAsia="Arial" w:hAnsi="Arial" w:cs="Arial"/>
          <w:sz w:val="20"/>
          <w:szCs w:val="20"/>
        </w:rPr>
      </w:pPr>
      <w:r>
        <w:rPr>
          <w:rFonts w:ascii="Arial" w:eastAsia="Arial" w:hAnsi="Arial" w:cs="Arial"/>
          <w:sz w:val="20"/>
          <w:szCs w:val="20"/>
        </w:rPr>
        <w:t>1. Solicita a la entidad modificar este requerimiento a "Mínimo 2 puertos USB" o, en su defecto, permitir el cumplimiento de los 4 puertos mediante la inclusión de un concentrador (Hub) USB externo en la entrega del equipo, argumentando la optimización de los diseños de hardware actuales.</w:t>
      </w:r>
    </w:p>
    <w:p w14:paraId="658B2CB7" w14:textId="77777777" w:rsidR="00BE6367" w:rsidRDefault="00C90F6A">
      <w:pPr>
        <w:spacing w:after="0"/>
        <w:jc w:val="both"/>
        <w:rPr>
          <w:rFonts w:ascii="Arial" w:eastAsia="Arial" w:hAnsi="Arial" w:cs="Arial"/>
          <w:b/>
          <w:bCs/>
          <w:sz w:val="20"/>
          <w:szCs w:val="20"/>
        </w:rPr>
      </w:pPr>
      <w:r>
        <w:rPr>
          <w:rFonts w:ascii="Arial" w:eastAsia="Arial" w:hAnsi="Arial" w:cs="Arial"/>
          <w:b/>
          <w:bCs/>
          <w:sz w:val="20"/>
          <w:szCs w:val="20"/>
        </w:rPr>
        <w:t>RESPUESTA A OBSERVACIÓN:</w:t>
      </w:r>
    </w:p>
    <w:p w14:paraId="273F6756" w14:textId="77777777" w:rsidR="00BE6367" w:rsidRDefault="00BE6367">
      <w:pPr>
        <w:spacing w:after="0"/>
        <w:jc w:val="both"/>
        <w:rPr>
          <w:rFonts w:ascii="Arial" w:eastAsia="Arial" w:hAnsi="Arial" w:cs="Arial"/>
          <w:b/>
          <w:bCs/>
          <w:sz w:val="20"/>
          <w:szCs w:val="20"/>
        </w:rPr>
      </w:pPr>
    </w:p>
    <w:p w14:paraId="466C1593" w14:textId="77777777" w:rsidR="00BE6367" w:rsidRDefault="00C90F6A">
      <w:pPr>
        <w:jc w:val="both"/>
        <w:rPr>
          <w:rFonts w:ascii="Arial" w:eastAsia="Arial" w:hAnsi="Arial" w:cs="Arial"/>
          <w:sz w:val="20"/>
          <w:szCs w:val="20"/>
        </w:rPr>
      </w:pPr>
      <w:r>
        <w:rPr>
          <w:rFonts w:ascii="Arial" w:eastAsia="Arial" w:hAnsi="Arial" w:cs="Arial"/>
          <w:sz w:val="20"/>
          <w:szCs w:val="20"/>
        </w:rPr>
        <w:t>La Entidad acepta parcialmente la observación. No se accede a reducir el requerimiento a un mínimo de 2 puertos USB, por cuanto la disponibilidad de 4 puertos responde a las necesidades funcionales identificadas por la Entidad para garantizar la conectividad simultánea de los dispositivos periféricos requeridos en la operación de la pantalla interactiva.</w:t>
      </w:r>
    </w:p>
    <w:p w14:paraId="3B847F3F" w14:textId="77777777" w:rsidR="00BE6367" w:rsidRDefault="00C90F6A">
      <w:pPr>
        <w:jc w:val="both"/>
        <w:rPr>
          <w:rFonts w:ascii="Arial" w:eastAsia="Arial" w:hAnsi="Arial" w:cs="Arial"/>
          <w:sz w:val="20"/>
          <w:szCs w:val="20"/>
        </w:rPr>
      </w:pPr>
      <w:r>
        <w:rPr>
          <w:rFonts w:ascii="Arial" w:eastAsia="Arial" w:hAnsi="Arial" w:cs="Arial"/>
          <w:sz w:val="20"/>
          <w:szCs w:val="20"/>
        </w:rPr>
        <w:t>No obstante, se acoge la alternativa propuesta por el observante, en el sentido de permitir que el cumplimiento del requisito de 4 puertos USB se logre mediante la incorporación de un concentrador (Hub) USB externo, siempre que éste sea suministrado junto con el equipo, forme parte integral de la solución ofertada y garantice la plena funcionalidad, estabilidad y compatibilidad exigidas para el uso previsto del panel.</w:t>
      </w:r>
    </w:p>
    <w:p w14:paraId="65125B5E" w14:textId="77777777" w:rsidR="00BE6367" w:rsidRDefault="00C90F6A">
      <w:pPr>
        <w:jc w:val="both"/>
        <w:rPr>
          <w:rFonts w:ascii="Arial" w:eastAsia="Arial" w:hAnsi="Arial" w:cs="Arial"/>
          <w:b/>
          <w:bCs/>
          <w:sz w:val="20"/>
          <w:szCs w:val="20"/>
        </w:rPr>
      </w:pPr>
      <w:r>
        <w:rPr>
          <w:rFonts w:ascii="Arial" w:eastAsia="Arial" w:hAnsi="Arial" w:cs="Arial"/>
          <w:sz w:val="20"/>
          <w:szCs w:val="20"/>
        </w:rPr>
        <w:t>En consecuencia, la ficha técnica será ajustada para precisar que el requisito de “mínimo 4 puertos USB” podrá cumplirse de manera nativa en el equipo o mediante Hub USB externo incluido en la entrega, sin que ello modifique el estándar funcional exigido por la Entidad.</w:t>
      </w:r>
    </w:p>
    <w:p w14:paraId="0C4809EE" w14:textId="77777777" w:rsidR="00BE6367" w:rsidRDefault="00BE6367">
      <w:pPr>
        <w:jc w:val="both"/>
        <w:rPr>
          <w:rFonts w:ascii="Arial" w:eastAsia="Arial" w:hAnsi="Arial" w:cs="Arial"/>
          <w:sz w:val="20"/>
          <w:szCs w:val="20"/>
        </w:rPr>
      </w:pPr>
    </w:p>
    <w:p w14:paraId="42B1AEB3"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2. Solicita cambiar el término "Wi-Fi 6" por "Wi-Fi de doble banda (2.4 GHz y 5 GHz) o superior", para garantizar la participación de múltiples tecnologías de conectividad inalámbrica de alta velocidad sin cerrar el mercado de forma exclusiva.</w:t>
      </w:r>
    </w:p>
    <w:p w14:paraId="3587EE8E" w14:textId="77777777" w:rsidR="00BE6367" w:rsidRDefault="00C90F6A">
      <w:pPr>
        <w:spacing w:after="0"/>
        <w:jc w:val="both"/>
        <w:rPr>
          <w:rFonts w:ascii="Arial" w:eastAsia="Arial" w:hAnsi="Arial" w:cs="Arial"/>
          <w:b/>
          <w:bCs/>
          <w:sz w:val="20"/>
          <w:szCs w:val="20"/>
        </w:rPr>
      </w:pPr>
      <w:r>
        <w:rPr>
          <w:rFonts w:ascii="Arial" w:eastAsia="Arial" w:hAnsi="Arial" w:cs="Arial"/>
          <w:b/>
          <w:bCs/>
          <w:sz w:val="20"/>
          <w:szCs w:val="20"/>
        </w:rPr>
        <w:t>RESPUESTA A OBSERVACIÓN:</w:t>
      </w:r>
    </w:p>
    <w:p w14:paraId="3AD79C25" w14:textId="77777777" w:rsidR="00BE6367" w:rsidRDefault="00BE6367">
      <w:pPr>
        <w:spacing w:after="0"/>
        <w:jc w:val="both"/>
        <w:rPr>
          <w:rFonts w:ascii="Arial" w:eastAsia="Arial" w:hAnsi="Arial" w:cs="Arial"/>
          <w:b/>
          <w:bCs/>
          <w:sz w:val="20"/>
          <w:szCs w:val="20"/>
        </w:rPr>
      </w:pPr>
    </w:p>
    <w:p w14:paraId="7C8E1A1E" w14:textId="77777777" w:rsidR="00BE6367" w:rsidRDefault="00C90F6A">
      <w:pPr>
        <w:spacing w:after="0"/>
        <w:jc w:val="both"/>
        <w:rPr>
          <w:rFonts w:ascii="Arial" w:eastAsia="Arial" w:hAnsi="Arial" w:cs="Arial"/>
          <w:sz w:val="20"/>
          <w:szCs w:val="20"/>
        </w:rPr>
      </w:pPr>
      <w:r>
        <w:rPr>
          <w:rFonts w:ascii="Arial" w:eastAsia="Arial" w:hAnsi="Arial" w:cs="Arial"/>
          <w:sz w:val="20"/>
          <w:szCs w:val="20"/>
        </w:rPr>
        <w:t>La Entidad acepta la observación. En aplicación del principio de libre concurrencia y selección objetiva consagrado en el artículo 5 de la Ley 1150 de 2007, y considerando que la funcionalidad requerida puede ser satisfecha por distintas tecnologías de conectividad inalámbrica, se modificará la ficha técnica para exigir “Wi-Fi de doble banda (2.4 GHz y 5 GHz) o superior”, en lugar de la referencia puntual a “Wi-Fi 6”.</w:t>
      </w:r>
    </w:p>
    <w:p w14:paraId="728CF991" w14:textId="77777777" w:rsidR="00BE6367" w:rsidRDefault="00BE6367">
      <w:pPr>
        <w:spacing w:after="0"/>
        <w:jc w:val="both"/>
        <w:rPr>
          <w:rFonts w:ascii="Arial" w:eastAsia="Arial" w:hAnsi="Arial" w:cs="Arial"/>
          <w:sz w:val="20"/>
          <w:szCs w:val="20"/>
        </w:rPr>
      </w:pPr>
    </w:p>
    <w:p w14:paraId="254F1581" w14:textId="77777777" w:rsidR="00BE6367" w:rsidRDefault="00C90F6A">
      <w:pPr>
        <w:spacing w:after="0"/>
        <w:jc w:val="both"/>
        <w:rPr>
          <w:rFonts w:ascii="Arial" w:eastAsia="Arial" w:hAnsi="Arial" w:cs="Arial"/>
          <w:sz w:val="20"/>
          <w:szCs w:val="20"/>
        </w:rPr>
      </w:pPr>
      <w:r>
        <w:rPr>
          <w:rFonts w:ascii="Arial" w:eastAsia="Arial" w:hAnsi="Arial" w:cs="Arial"/>
          <w:sz w:val="20"/>
          <w:szCs w:val="20"/>
        </w:rPr>
        <w:t xml:space="preserve">Con el fin de preservar el estándar de desempeño requerido por la Entidad, el equipo ofertado deberá garantizar una conectividad estable y de alta velocidad, sin interrupciones que afecten su normal funcionamiento durante la operación del panel. </w:t>
      </w:r>
    </w:p>
    <w:p w14:paraId="65F8CA01" w14:textId="77777777" w:rsidR="00BE6367" w:rsidRDefault="00BE6367">
      <w:pPr>
        <w:spacing w:after="0"/>
        <w:jc w:val="both"/>
        <w:rPr>
          <w:rFonts w:ascii="Arial" w:eastAsia="Arial" w:hAnsi="Arial" w:cs="Arial"/>
          <w:sz w:val="20"/>
          <w:szCs w:val="20"/>
        </w:rPr>
      </w:pPr>
    </w:p>
    <w:p w14:paraId="146A87E5" w14:textId="77777777" w:rsidR="00BE6367" w:rsidRDefault="00C90F6A">
      <w:pPr>
        <w:spacing w:after="0"/>
        <w:jc w:val="both"/>
        <w:rPr>
          <w:rFonts w:ascii="Arial" w:eastAsia="Arial" w:hAnsi="Arial" w:cs="Arial"/>
          <w:b/>
          <w:bCs/>
          <w:sz w:val="20"/>
          <w:szCs w:val="20"/>
        </w:rPr>
      </w:pPr>
      <w:r>
        <w:rPr>
          <w:rFonts w:ascii="Arial" w:eastAsia="Arial" w:hAnsi="Arial" w:cs="Arial"/>
          <w:sz w:val="20"/>
          <w:szCs w:val="20"/>
        </w:rPr>
        <w:t>En consecuencia, la ficha técnica será ajustada para reflejar el nuevo requerimiento, sin que ello implique una disminución del estándar funcional exigido por la Entidad.</w:t>
      </w:r>
    </w:p>
    <w:p w14:paraId="55EC1583" w14:textId="77777777" w:rsidR="00BE6367" w:rsidRDefault="00BE6367">
      <w:pPr>
        <w:jc w:val="both"/>
        <w:rPr>
          <w:rFonts w:ascii="Arial" w:eastAsia="Arial" w:hAnsi="Arial" w:cs="Arial"/>
          <w:sz w:val="20"/>
          <w:szCs w:val="20"/>
        </w:rPr>
      </w:pPr>
    </w:p>
    <w:p w14:paraId="5D021AB4" w14:textId="77777777" w:rsidR="00BE6367" w:rsidRDefault="00C90F6A">
      <w:pPr>
        <w:jc w:val="both"/>
        <w:rPr>
          <w:rFonts w:ascii="Arial" w:eastAsia="Arial" w:hAnsi="Arial" w:cs="Arial"/>
          <w:sz w:val="20"/>
          <w:szCs w:val="20"/>
        </w:rPr>
      </w:pPr>
      <w:r>
        <w:rPr>
          <w:rFonts w:ascii="Arial" w:eastAsia="Arial" w:hAnsi="Arial" w:cs="Arial"/>
          <w:sz w:val="20"/>
          <w:szCs w:val="20"/>
        </w:rPr>
        <w:t>3. Solicita a la entidad eliminar la obligatoriedad de los puertos RS232 y SPDIF, o bien permitir que estas salidas/entradas se puedan suplir a través de adaptadores o convertidores externos conectados a los puertos HDMI o USB de la pantalla.</w:t>
      </w:r>
    </w:p>
    <w:p w14:paraId="34C75C9C" w14:textId="77777777" w:rsidR="00BE6367" w:rsidRDefault="00C90F6A">
      <w:pPr>
        <w:spacing w:after="0"/>
        <w:jc w:val="both"/>
        <w:rPr>
          <w:rFonts w:ascii="Arial" w:eastAsia="Arial" w:hAnsi="Arial" w:cs="Arial"/>
          <w:b/>
          <w:bCs/>
          <w:sz w:val="20"/>
          <w:szCs w:val="20"/>
        </w:rPr>
      </w:pPr>
      <w:r>
        <w:rPr>
          <w:rFonts w:ascii="Arial" w:eastAsia="Arial" w:hAnsi="Arial" w:cs="Arial"/>
          <w:b/>
          <w:bCs/>
          <w:sz w:val="20"/>
          <w:szCs w:val="20"/>
        </w:rPr>
        <w:t>RESPUESTA A OBSERVACIÓN:</w:t>
      </w:r>
    </w:p>
    <w:p w14:paraId="5F3891C1" w14:textId="77777777" w:rsidR="00BE6367" w:rsidRDefault="00BE6367">
      <w:pPr>
        <w:spacing w:after="0"/>
        <w:jc w:val="both"/>
        <w:rPr>
          <w:rFonts w:ascii="Arial" w:eastAsia="Arial" w:hAnsi="Arial" w:cs="Arial"/>
          <w:b/>
          <w:bCs/>
          <w:sz w:val="20"/>
          <w:szCs w:val="20"/>
        </w:rPr>
      </w:pPr>
    </w:p>
    <w:p w14:paraId="183C8516" w14:textId="77777777" w:rsidR="00BE6367" w:rsidRDefault="00C90F6A">
      <w:pPr>
        <w:jc w:val="both"/>
        <w:rPr>
          <w:rFonts w:ascii="Arial" w:eastAsia="Arial" w:hAnsi="Arial" w:cs="Arial"/>
          <w:sz w:val="20"/>
          <w:szCs w:val="20"/>
        </w:rPr>
      </w:pPr>
      <w:r>
        <w:rPr>
          <w:rFonts w:ascii="Arial" w:eastAsia="Arial" w:hAnsi="Arial" w:cs="Arial"/>
          <w:sz w:val="20"/>
          <w:szCs w:val="20"/>
        </w:rPr>
        <w:t>La Entidad acepta parcialmente la observación. No se accede a la eliminación total del requerimiento de contar con interfaces RS232 y SPDIF, por cuanto dichas conexiones responden a necesidades de la Entidad.</w:t>
      </w:r>
    </w:p>
    <w:p w14:paraId="64CA6D04" w14:textId="77777777" w:rsidR="00BE6367" w:rsidRDefault="00C90F6A">
      <w:pPr>
        <w:jc w:val="both"/>
        <w:rPr>
          <w:rFonts w:ascii="Arial" w:eastAsia="Arial" w:hAnsi="Arial" w:cs="Arial"/>
          <w:sz w:val="20"/>
          <w:szCs w:val="20"/>
        </w:rPr>
      </w:pPr>
      <w:r>
        <w:rPr>
          <w:rFonts w:ascii="Arial" w:eastAsia="Arial" w:hAnsi="Arial" w:cs="Arial"/>
          <w:sz w:val="20"/>
          <w:szCs w:val="20"/>
        </w:rPr>
        <w:t>No obstante, se acoge la alternativa propuesta por el observante, en el sentido de permitir que dichas interfaces sean suplidas mediante adaptadores o convertidores externos conectados a los puertos HDMI o USB de la pantalla, siempre que estos sean suministrados junto con el equipo, formen parte integral de la solución ofertada y garanticen la plena funcionalidad, estabilidad y compatibilidad exigidas para los fines previstos por la Entidad.</w:t>
      </w:r>
    </w:p>
    <w:p w14:paraId="44C50BFE" w14:textId="77777777" w:rsidR="00BE6367" w:rsidRDefault="00C90F6A">
      <w:pPr>
        <w:jc w:val="both"/>
        <w:rPr>
          <w:rFonts w:ascii="Arial" w:eastAsia="Arial" w:hAnsi="Arial" w:cs="Arial"/>
          <w:b/>
          <w:bCs/>
          <w:sz w:val="20"/>
          <w:szCs w:val="20"/>
        </w:rPr>
      </w:pPr>
      <w:r>
        <w:rPr>
          <w:rFonts w:ascii="Arial" w:eastAsia="Arial" w:hAnsi="Arial" w:cs="Arial"/>
          <w:sz w:val="20"/>
          <w:szCs w:val="20"/>
        </w:rPr>
        <w:t>En consecuencia, la ficha técnica será ajustada para precisar que el cumplimiento de los requisitos de conectividad RS232 y SPDIF podrá lograrse de manera nativa en el equipo o mediante adaptadores o convertidores externos incluidos en la entrega, sin que ello modifique el estándar funcional exigido por la Entidad.</w:t>
      </w:r>
    </w:p>
    <w:p w14:paraId="5669EB6F" w14:textId="77777777" w:rsidR="00BE6367" w:rsidRDefault="00BE6367">
      <w:pPr>
        <w:jc w:val="both"/>
        <w:rPr>
          <w:rFonts w:ascii="Arial" w:eastAsia="Arial" w:hAnsi="Arial" w:cs="Arial"/>
          <w:sz w:val="20"/>
          <w:szCs w:val="20"/>
        </w:rPr>
      </w:pPr>
    </w:p>
    <w:p w14:paraId="3879EB33"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4. Solicita a la entidad aclarar o modificar el objeto de la ficha técnica para que se acepten "Pantallas de tecnología LED modular con soporte de instalación fijo o móvil", suprimiendo la exigencia restrictiva de que el panel deba ser "plegable", puesto que esto limita la libre concurrencia a un solo diseño patentado por ciertos fabricantes. </w:t>
      </w:r>
    </w:p>
    <w:p w14:paraId="3840D041" w14:textId="77777777" w:rsidR="00BE6367" w:rsidRDefault="00BE6367">
      <w:pPr>
        <w:jc w:val="both"/>
        <w:rPr>
          <w:rFonts w:ascii="Arial" w:eastAsia="Arial" w:hAnsi="Arial" w:cs="Arial"/>
          <w:sz w:val="20"/>
          <w:szCs w:val="20"/>
        </w:rPr>
      </w:pPr>
    </w:p>
    <w:p w14:paraId="29822774" w14:textId="77777777" w:rsidR="00BE6367" w:rsidRDefault="00C90F6A">
      <w:pPr>
        <w:spacing w:after="0"/>
        <w:jc w:val="both"/>
        <w:rPr>
          <w:rFonts w:ascii="Arial" w:eastAsia="Arial" w:hAnsi="Arial" w:cs="Arial"/>
          <w:b/>
          <w:bCs/>
          <w:sz w:val="20"/>
          <w:szCs w:val="20"/>
        </w:rPr>
      </w:pPr>
      <w:r>
        <w:rPr>
          <w:rFonts w:ascii="Arial" w:eastAsia="Arial" w:hAnsi="Arial" w:cs="Arial"/>
          <w:b/>
          <w:bCs/>
          <w:sz w:val="20"/>
          <w:szCs w:val="20"/>
        </w:rPr>
        <w:t>RESPUESTA A OBSERVACIÓN:</w:t>
      </w:r>
    </w:p>
    <w:p w14:paraId="01305ED1" w14:textId="77777777" w:rsidR="00BE6367" w:rsidRDefault="00BE6367">
      <w:pPr>
        <w:spacing w:after="0"/>
        <w:jc w:val="both"/>
        <w:rPr>
          <w:rFonts w:ascii="Arial" w:eastAsia="Arial" w:hAnsi="Arial" w:cs="Arial"/>
          <w:b/>
          <w:bCs/>
          <w:sz w:val="20"/>
          <w:szCs w:val="20"/>
        </w:rPr>
      </w:pPr>
    </w:p>
    <w:p w14:paraId="37B22AF4" w14:textId="77777777" w:rsidR="00BE6367" w:rsidRDefault="00C90F6A">
      <w:pPr>
        <w:spacing w:after="0"/>
        <w:jc w:val="both"/>
        <w:rPr>
          <w:rFonts w:ascii="Arial" w:eastAsia="Arial" w:hAnsi="Arial" w:cs="Arial"/>
          <w:sz w:val="20"/>
          <w:szCs w:val="20"/>
        </w:rPr>
      </w:pPr>
      <w:r>
        <w:rPr>
          <w:rFonts w:ascii="Arial" w:eastAsia="Arial" w:hAnsi="Arial" w:cs="Arial"/>
          <w:sz w:val="20"/>
          <w:szCs w:val="20"/>
        </w:rPr>
        <w:t xml:space="preserve">No se acepta la observación. La exigencia de que el panel sea de tipo plegable obedece a las necesidades técnicas y operativas específicas identificadas por la Entidad en la etapa de </w:t>
      </w:r>
      <w:r>
        <w:rPr>
          <w:rFonts w:ascii="Arial" w:eastAsia="Arial" w:hAnsi="Arial" w:cs="Arial"/>
          <w:sz w:val="20"/>
          <w:szCs w:val="20"/>
        </w:rPr>
        <w:lastRenderedPageBreak/>
        <w:t>planeación del proceso, particularmente en lo relacionado con facilidad de transporte, almacenamiento, instalación en espacios de uso múltiple y/o rotación del equipo entre distintas dependencias o eventos.</w:t>
      </w:r>
    </w:p>
    <w:p w14:paraId="4926A0DE" w14:textId="77777777" w:rsidR="00BE6367" w:rsidRDefault="00BE6367">
      <w:pPr>
        <w:spacing w:after="0"/>
        <w:jc w:val="both"/>
        <w:rPr>
          <w:rFonts w:ascii="Arial" w:eastAsia="Arial" w:hAnsi="Arial" w:cs="Arial"/>
          <w:sz w:val="20"/>
          <w:szCs w:val="20"/>
        </w:rPr>
      </w:pPr>
    </w:p>
    <w:p w14:paraId="69F63BDD" w14:textId="77777777" w:rsidR="00BE6367" w:rsidRDefault="00C90F6A">
      <w:pPr>
        <w:spacing w:after="0"/>
        <w:jc w:val="both"/>
        <w:rPr>
          <w:rFonts w:ascii="Arial" w:eastAsia="Arial" w:hAnsi="Arial" w:cs="Arial"/>
          <w:sz w:val="20"/>
          <w:szCs w:val="20"/>
        </w:rPr>
      </w:pPr>
      <w:r>
        <w:rPr>
          <w:rFonts w:ascii="Arial" w:eastAsia="Arial" w:hAnsi="Arial" w:cs="Arial"/>
          <w:sz w:val="20"/>
          <w:szCs w:val="20"/>
        </w:rPr>
        <w:t>Frente a la afirmación del observante según la cual el diseño plegable correspondería a una tecnología patentada por determinados fabricantes, la Entidad precisa que dicha condición no fue definida en función de una marca, modelo o fabricante específico, sino en atención a una característica funcional la posibilidad de plegado que puede ser satisfecha por múltiples proveedores del mercado, tal como lo evidencia el análisis de sector realizado previo a la estructuración del presente proceso. En consecuencia, no se configura una restricción indebida a la libre concurrencia, en la medida en que la especificación técnica responde a un criterio de funcionalidad y no a la exclusividad de un desarrollo patentado.</w:t>
      </w:r>
    </w:p>
    <w:p w14:paraId="2663779C" w14:textId="77777777" w:rsidR="00BE6367" w:rsidRDefault="00BE6367">
      <w:pPr>
        <w:spacing w:after="0"/>
        <w:jc w:val="both"/>
        <w:rPr>
          <w:rFonts w:ascii="Arial" w:eastAsia="Arial" w:hAnsi="Arial" w:cs="Arial"/>
          <w:sz w:val="20"/>
          <w:szCs w:val="20"/>
        </w:rPr>
      </w:pPr>
    </w:p>
    <w:p w14:paraId="50F06BD8" w14:textId="77777777" w:rsidR="00BE6367" w:rsidRDefault="00C90F6A">
      <w:pPr>
        <w:spacing w:after="0"/>
        <w:jc w:val="both"/>
        <w:rPr>
          <w:rFonts w:ascii="Arial" w:eastAsia="Arial" w:hAnsi="Arial" w:cs="Arial"/>
          <w:sz w:val="20"/>
          <w:szCs w:val="20"/>
        </w:rPr>
      </w:pPr>
      <w:r>
        <w:rPr>
          <w:rFonts w:ascii="Arial" w:eastAsia="Arial" w:hAnsi="Arial" w:cs="Arial"/>
          <w:sz w:val="20"/>
          <w:szCs w:val="20"/>
        </w:rPr>
        <w:t>Por lo anterior, se mantiene la exigencia de panel plegable en los términos definidos en la ficha técnica.</w:t>
      </w:r>
    </w:p>
    <w:p w14:paraId="326624F2" w14:textId="77777777" w:rsidR="00BE6367" w:rsidRDefault="00BE6367">
      <w:pPr>
        <w:spacing w:after="0"/>
        <w:jc w:val="both"/>
        <w:rPr>
          <w:rFonts w:ascii="Arial" w:eastAsia="Arial" w:hAnsi="Arial" w:cs="Arial"/>
          <w:b/>
          <w:bCs/>
          <w:sz w:val="20"/>
          <w:szCs w:val="20"/>
        </w:rPr>
      </w:pPr>
    </w:p>
    <w:p w14:paraId="13A42BD6" w14:textId="77777777" w:rsidR="00BE6367" w:rsidRDefault="00BE6367">
      <w:pPr>
        <w:jc w:val="both"/>
        <w:rPr>
          <w:rFonts w:ascii="Arial" w:eastAsia="Arial" w:hAnsi="Arial" w:cs="Arial"/>
          <w:sz w:val="20"/>
          <w:szCs w:val="20"/>
        </w:rPr>
      </w:pPr>
    </w:p>
    <w:p w14:paraId="1C327501"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OBSERVACIONES PANTALLA INTERACTIVA 65”</w:t>
      </w:r>
    </w:p>
    <w:p w14:paraId="56BF6D0C" w14:textId="77777777" w:rsidR="00BE6367" w:rsidRDefault="00C90F6A">
      <w:pPr>
        <w:numPr>
          <w:ilvl w:val="0"/>
          <w:numId w:val="1"/>
        </w:num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color w:val="000000"/>
          <w:sz w:val="20"/>
          <w:szCs w:val="20"/>
        </w:rPr>
        <w:t>Solicita cambiar la solicitud de  "Wi-Fi 6" por "Wi-Fi 5) o superior", para garantizar la participación de múltiples tecnologías de conectividad inalámbrica de alta velocidad sin cerrar el mercado de forma exclusiva.</w:t>
      </w:r>
    </w:p>
    <w:p w14:paraId="08C73C5B" w14:textId="77777777" w:rsidR="00BE6367" w:rsidRDefault="00BE6367">
      <w:pPr>
        <w:pBdr>
          <w:top w:val="nil"/>
          <w:left w:val="nil"/>
          <w:bottom w:val="nil"/>
          <w:right w:val="nil"/>
          <w:between w:val="nil"/>
        </w:pBdr>
        <w:spacing w:after="0"/>
        <w:jc w:val="both"/>
        <w:rPr>
          <w:rFonts w:ascii="Arial" w:eastAsia="Arial" w:hAnsi="Arial" w:cs="Arial"/>
          <w:sz w:val="20"/>
          <w:szCs w:val="20"/>
        </w:rPr>
      </w:pPr>
    </w:p>
    <w:p w14:paraId="5E631E1D" w14:textId="77777777" w:rsidR="00BE6367" w:rsidRDefault="00C90F6A">
      <w:pPr>
        <w:spacing w:after="0"/>
        <w:jc w:val="both"/>
        <w:rPr>
          <w:rFonts w:ascii="Arial" w:eastAsia="Arial" w:hAnsi="Arial" w:cs="Arial"/>
          <w:b/>
          <w:bCs/>
          <w:sz w:val="20"/>
          <w:szCs w:val="20"/>
        </w:rPr>
      </w:pPr>
      <w:r>
        <w:rPr>
          <w:rFonts w:ascii="Arial" w:eastAsia="Arial" w:hAnsi="Arial" w:cs="Arial"/>
          <w:b/>
          <w:bCs/>
          <w:sz w:val="20"/>
          <w:szCs w:val="20"/>
        </w:rPr>
        <w:t>RESPUESTA A OBSERVACIÓN:</w:t>
      </w:r>
    </w:p>
    <w:p w14:paraId="1B871B13" w14:textId="77777777" w:rsidR="00BE6367" w:rsidRDefault="00BE6367">
      <w:pPr>
        <w:spacing w:after="0"/>
        <w:jc w:val="both"/>
        <w:rPr>
          <w:rFonts w:ascii="Arial" w:eastAsia="Arial" w:hAnsi="Arial" w:cs="Arial"/>
          <w:b/>
          <w:bCs/>
          <w:sz w:val="20"/>
          <w:szCs w:val="20"/>
        </w:rPr>
      </w:pPr>
    </w:p>
    <w:p w14:paraId="292667E5" w14:textId="77777777" w:rsidR="00BE6367" w:rsidRDefault="00C90F6A">
      <w:pPr>
        <w:spacing w:after="0"/>
        <w:jc w:val="both"/>
        <w:rPr>
          <w:rFonts w:ascii="Arial" w:eastAsia="Arial" w:hAnsi="Arial" w:cs="Arial"/>
          <w:sz w:val="20"/>
          <w:szCs w:val="20"/>
        </w:rPr>
      </w:pPr>
      <w:r>
        <w:rPr>
          <w:rFonts w:ascii="Arial" w:eastAsia="Arial" w:hAnsi="Arial" w:cs="Arial"/>
          <w:sz w:val="20"/>
          <w:szCs w:val="20"/>
        </w:rPr>
        <w:t>La Entidad acepta la observación. En aplicación del principio de libre concurrencia y selección objetiva consagrado en el artículo 5 de la Ley 1150 de 2007, y considerando que la funcionalidad requerida puede ser satisfecha por distintas tecnologías de conectividad inalámbrica, se modificará la ficha técnica para exigir “Wi-Fi de doble banda (2.4 GHz y 5 GHz) o superior”, en lugar de la referencia puntual a “Wi-Fi 6”.</w:t>
      </w:r>
    </w:p>
    <w:p w14:paraId="416C7450" w14:textId="77777777" w:rsidR="00BE6367" w:rsidRDefault="00BE6367">
      <w:pPr>
        <w:spacing w:after="0"/>
        <w:jc w:val="both"/>
        <w:rPr>
          <w:rFonts w:ascii="Arial" w:eastAsia="Arial" w:hAnsi="Arial" w:cs="Arial"/>
          <w:sz w:val="20"/>
          <w:szCs w:val="20"/>
        </w:rPr>
      </w:pPr>
    </w:p>
    <w:p w14:paraId="78B6FCC6" w14:textId="77777777" w:rsidR="00BE6367" w:rsidRDefault="00C90F6A">
      <w:pPr>
        <w:spacing w:after="0"/>
        <w:jc w:val="both"/>
        <w:rPr>
          <w:rFonts w:ascii="Arial" w:eastAsia="Arial" w:hAnsi="Arial" w:cs="Arial"/>
          <w:sz w:val="20"/>
          <w:szCs w:val="20"/>
        </w:rPr>
      </w:pPr>
      <w:r>
        <w:rPr>
          <w:rFonts w:ascii="Arial" w:eastAsia="Arial" w:hAnsi="Arial" w:cs="Arial"/>
          <w:sz w:val="20"/>
          <w:szCs w:val="20"/>
        </w:rPr>
        <w:t xml:space="preserve">Con el fin de preservar el estándar de desempeño requerido por la Entidad, el equipo ofertado deberá garantizar una conectividad estable y de alta velocidad, sin interrupciones que afecten su normal funcionamiento durante la operación del panel. </w:t>
      </w:r>
    </w:p>
    <w:p w14:paraId="1F0C1E5C" w14:textId="77777777" w:rsidR="00BE6367" w:rsidRDefault="00BE6367">
      <w:pPr>
        <w:spacing w:after="0"/>
        <w:jc w:val="both"/>
        <w:rPr>
          <w:rFonts w:ascii="Arial" w:eastAsia="Arial" w:hAnsi="Arial" w:cs="Arial"/>
          <w:sz w:val="20"/>
          <w:szCs w:val="20"/>
        </w:rPr>
      </w:pPr>
    </w:p>
    <w:p w14:paraId="2EF56E96" w14:textId="77777777" w:rsidR="00BE6367" w:rsidRDefault="00C90F6A">
      <w:pPr>
        <w:spacing w:after="0"/>
        <w:jc w:val="both"/>
        <w:rPr>
          <w:rFonts w:ascii="Arial" w:eastAsia="Arial" w:hAnsi="Arial" w:cs="Arial"/>
          <w:b/>
          <w:bCs/>
          <w:sz w:val="20"/>
          <w:szCs w:val="20"/>
        </w:rPr>
      </w:pPr>
      <w:r>
        <w:rPr>
          <w:rFonts w:ascii="Arial" w:eastAsia="Arial" w:hAnsi="Arial" w:cs="Arial"/>
          <w:sz w:val="20"/>
          <w:szCs w:val="20"/>
        </w:rPr>
        <w:t>En consecuencia, la ficha técnica será ajustada para reflejar el nuevo requerimiento, sin que ello implique una disminución del estándar funcional exigido por la Entidad.</w:t>
      </w:r>
    </w:p>
    <w:p w14:paraId="18A04F0E" w14:textId="77777777" w:rsidR="00BE6367" w:rsidRDefault="00BE6367">
      <w:pPr>
        <w:pBdr>
          <w:top w:val="nil"/>
          <w:left w:val="nil"/>
          <w:bottom w:val="nil"/>
          <w:right w:val="nil"/>
          <w:between w:val="nil"/>
        </w:pBdr>
        <w:spacing w:after="0"/>
        <w:ind w:left="720"/>
        <w:jc w:val="both"/>
        <w:rPr>
          <w:rFonts w:ascii="Arial" w:eastAsia="Arial" w:hAnsi="Arial" w:cs="Arial"/>
          <w:color w:val="000000"/>
          <w:sz w:val="20"/>
          <w:szCs w:val="20"/>
        </w:rPr>
      </w:pPr>
    </w:p>
    <w:p w14:paraId="59058867" w14:textId="77777777" w:rsidR="00BE6367" w:rsidRDefault="00C90F6A">
      <w:pPr>
        <w:numPr>
          <w:ilvl w:val="0"/>
          <w:numId w:val="1"/>
        </w:numPr>
        <w:pBdr>
          <w:top w:val="nil"/>
          <w:left w:val="nil"/>
          <w:bottom w:val="nil"/>
          <w:right w:val="nil"/>
          <w:between w:val="nil"/>
        </w:pBdr>
        <w:jc w:val="both"/>
        <w:rPr>
          <w:rFonts w:ascii="Arial" w:eastAsia="Arial" w:hAnsi="Arial" w:cs="Arial"/>
          <w:sz w:val="20"/>
          <w:szCs w:val="20"/>
        </w:rPr>
      </w:pPr>
      <w:r>
        <w:rPr>
          <w:rFonts w:ascii="Arial" w:eastAsia="Arial" w:hAnsi="Arial" w:cs="Arial"/>
          <w:color w:val="000000"/>
          <w:sz w:val="20"/>
          <w:szCs w:val="20"/>
        </w:rPr>
        <w:t>Se solicita amablemente a la entidad ampliar el requisito de la funcionalidad de IA "Smart Framing", permitiendo acreditar tecnologías equivalentes como Auto Framing, AI Framing, Intelligent Framing, Speaker Tracking, Presenter Tracking o similares, siempre que cumplan la misma finalidad funcional. Lo anterior con el fin de garantizar la pluralidad de oferentes, la libre concurrencia y la selección objetiva, evitando limitar la participación de fabricantes que implementan esta capacidad bajo diferentes denominaciones comerciales.</w:t>
      </w:r>
    </w:p>
    <w:p w14:paraId="444EB9B9"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1B37D40A" w14:textId="77777777" w:rsidR="00BE6367" w:rsidRDefault="00BE6367">
      <w:pPr>
        <w:jc w:val="both"/>
        <w:rPr>
          <w:rFonts w:ascii="Arial" w:eastAsia="Arial" w:hAnsi="Arial" w:cs="Arial"/>
          <w:sz w:val="20"/>
          <w:szCs w:val="20"/>
        </w:rPr>
      </w:pPr>
    </w:p>
    <w:p w14:paraId="47CE3157"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Se acepta la observación. En aplicación de los principios de libre concurrencia y selección objetiva (art. 5 Ley 1150 de 2007), la Entidad admitirá la acreditación de la funcionalidad de </w:t>
      </w:r>
      <w:r>
        <w:rPr>
          <w:rFonts w:ascii="Arial" w:eastAsia="Arial" w:hAnsi="Arial" w:cs="Arial"/>
          <w:sz w:val="20"/>
          <w:szCs w:val="20"/>
        </w:rPr>
        <w:lastRenderedPageBreak/>
        <w:t>encuadre automático mediante inteligencia artificial bajo cualquiera de las siguientes denominaciones comerciales, siempre que el proponente demuestre que cumplen la misma finalidad funcional exigida para “Smart Framing”: Auto Framing, AI Framing, Intelligent Framing, Speaker Tracking, Presenter Tracking, o tecnologías equivalentes que el proponente acredite mediante ficha técnica del fabricante.</w:t>
      </w:r>
    </w:p>
    <w:p w14:paraId="4C47A8CD" w14:textId="77777777" w:rsidR="00BE6367" w:rsidRDefault="00C90F6A">
      <w:pPr>
        <w:jc w:val="both"/>
        <w:rPr>
          <w:rFonts w:ascii="Arial" w:eastAsia="Arial" w:hAnsi="Arial" w:cs="Arial"/>
          <w:sz w:val="20"/>
          <w:szCs w:val="20"/>
        </w:rPr>
      </w:pPr>
      <w:r>
        <w:rPr>
          <w:rFonts w:ascii="Arial" w:eastAsia="Arial" w:hAnsi="Arial" w:cs="Arial"/>
          <w:sz w:val="20"/>
          <w:szCs w:val="20"/>
        </w:rPr>
        <w:t>La acreditación de la equivalencia funcional deberá efectuarse mediante la documentación técnica oficial del fabricante, en la que conste que la tecnología ofertada realiza el seguimiento y encuadre automático de la persona u objeto en escena, sin intervención manual del operador.</w:t>
      </w:r>
    </w:p>
    <w:p w14:paraId="7423A446" w14:textId="77777777" w:rsidR="00BE6367" w:rsidRDefault="00C90F6A">
      <w:pPr>
        <w:jc w:val="both"/>
        <w:rPr>
          <w:rFonts w:ascii="Arial" w:eastAsia="Arial" w:hAnsi="Arial" w:cs="Arial"/>
          <w:sz w:val="20"/>
          <w:szCs w:val="20"/>
        </w:rPr>
      </w:pPr>
      <w:r>
        <w:rPr>
          <w:rFonts w:ascii="Arial" w:eastAsia="Arial" w:hAnsi="Arial" w:cs="Arial"/>
          <w:sz w:val="20"/>
          <w:szCs w:val="20"/>
        </w:rPr>
        <w:t>En consecuencia, la ficha técnica será ajustada para reflejar que el requisito se entenderá satisfecho con cualquiera de las tecnologías anteriormente enunciadas o sus equivalentes funcionales debidamente acreditados.</w:t>
      </w:r>
    </w:p>
    <w:p w14:paraId="16620F89" w14:textId="77777777" w:rsidR="00BE6367" w:rsidRDefault="00BE6367">
      <w:pPr>
        <w:jc w:val="both"/>
        <w:rPr>
          <w:rFonts w:ascii="Arial" w:eastAsia="Arial" w:hAnsi="Arial" w:cs="Arial"/>
          <w:sz w:val="20"/>
          <w:szCs w:val="20"/>
        </w:rPr>
      </w:pPr>
    </w:p>
    <w:p w14:paraId="4AFAC938"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OBSERVACIÓN 1: EXIGENCIA DE CERTIFICACIONES DE FABRICANTE Y DESPROPORCIÓN PRESUPUESTAL</w:t>
      </w:r>
    </w:p>
    <w:p w14:paraId="12064A01"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Se solicita a la entidad retirar la exigencia de "Certificación suscrita por el representante legal del fabricante o quien esté autorizado por el fabricante", cuya fecha de expedición no sea mayor a 30 días calendario previo a la radicación de documentos. Como se evidencia en la tabla adjunta, el 90% del presupuesto está destinado a equipos de cómputo, sin embargo, se está cerrando el proceso con certificaciones de menor importancia en ítems que no superan el 5% del presupuesto total. Reiteramos que los fabricantes de dichos ítems confirman que el único oferente que recibirá dichas certificaciones es Matizzo, lo cual confirma el direccionamiento del proceso.</w:t>
      </w:r>
    </w:p>
    <w:tbl>
      <w:tblPr>
        <w:tblStyle w:val="a1"/>
        <w:tblW w:w="8347" w:type="dxa"/>
        <w:tblInd w:w="0" w:type="dxa"/>
        <w:tblLayout w:type="fixed"/>
        <w:tblLook w:val="0400" w:firstRow="0" w:lastRow="0" w:firstColumn="0" w:lastColumn="0" w:noHBand="0" w:noVBand="1"/>
      </w:tblPr>
      <w:tblGrid>
        <w:gridCol w:w="944"/>
        <w:gridCol w:w="1983"/>
        <w:gridCol w:w="773"/>
        <w:gridCol w:w="1379"/>
        <w:gridCol w:w="1712"/>
        <w:gridCol w:w="1556"/>
      </w:tblGrid>
      <w:tr w:rsidR="00BE6367" w14:paraId="1041A944" w14:textId="77777777">
        <w:trPr>
          <w:cantSplit/>
          <w:trHeight w:val="1134"/>
        </w:trPr>
        <w:tc>
          <w:tcPr>
            <w:tcW w:w="944"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1651C7FB" w14:textId="77777777" w:rsidR="00BE6367" w:rsidRDefault="00C90F6A">
            <w:pPr>
              <w:jc w:val="both"/>
              <w:rPr>
                <w:rFonts w:ascii="Arial" w:eastAsia="Arial" w:hAnsi="Arial" w:cs="Arial"/>
                <w:sz w:val="20"/>
                <w:szCs w:val="20"/>
              </w:rPr>
            </w:pPr>
            <w:r>
              <w:rPr>
                <w:rFonts w:ascii="Arial" w:eastAsia="Arial" w:hAnsi="Arial" w:cs="Arial"/>
                <w:b/>
                <w:bCs/>
                <w:sz w:val="20"/>
                <w:szCs w:val="20"/>
              </w:rPr>
              <w:t>Ítem</w:t>
            </w:r>
          </w:p>
        </w:tc>
        <w:tc>
          <w:tcPr>
            <w:tcW w:w="198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5A71A3D3" w14:textId="77777777" w:rsidR="00BE6367" w:rsidRDefault="00C90F6A">
            <w:pPr>
              <w:jc w:val="both"/>
              <w:rPr>
                <w:rFonts w:ascii="Arial" w:eastAsia="Arial" w:hAnsi="Arial" w:cs="Arial"/>
                <w:sz w:val="20"/>
                <w:szCs w:val="20"/>
              </w:rPr>
            </w:pPr>
            <w:r>
              <w:rPr>
                <w:rFonts w:ascii="Arial" w:eastAsia="Arial" w:hAnsi="Arial" w:cs="Arial"/>
                <w:b/>
                <w:bCs/>
                <w:sz w:val="20"/>
                <w:szCs w:val="20"/>
              </w:rPr>
              <w:t>Concepto</w:t>
            </w:r>
          </w:p>
        </w:tc>
        <w:tc>
          <w:tcPr>
            <w:tcW w:w="77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54A6C5F8" w14:textId="77777777" w:rsidR="00BE6367" w:rsidRDefault="00C90F6A">
            <w:pPr>
              <w:ind w:left="113" w:right="113"/>
              <w:jc w:val="both"/>
              <w:rPr>
                <w:rFonts w:ascii="Arial" w:eastAsia="Arial" w:hAnsi="Arial" w:cs="Arial"/>
                <w:sz w:val="20"/>
                <w:szCs w:val="20"/>
              </w:rPr>
            </w:pPr>
            <w:r>
              <w:rPr>
                <w:rFonts w:ascii="Arial" w:eastAsia="Arial" w:hAnsi="Arial" w:cs="Arial"/>
                <w:b/>
                <w:bCs/>
                <w:sz w:val="20"/>
                <w:szCs w:val="20"/>
              </w:rPr>
              <w:t>Cantidad</w:t>
            </w:r>
          </w:p>
        </w:tc>
        <w:tc>
          <w:tcPr>
            <w:tcW w:w="1379"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1D059FA6" w14:textId="77777777" w:rsidR="00BE6367" w:rsidRDefault="00C90F6A">
            <w:pPr>
              <w:jc w:val="both"/>
              <w:rPr>
                <w:rFonts w:ascii="Arial" w:eastAsia="Arial" w:hAnsi="Arial" w:cs="Arial"/>
                <w:sz w:val="20"/>
                <w:szCs w:val="20"/>
              </w:rPr>
            </w:pPr>
            <w:r>
              <w:rPr>
                <w:rFonts w:ascii="Arial" w:eastAsia="Arial" w:hAnsi="Arial" w:cs="Arial"/>
                <w:b/>
                <w:bCs/>
                <w:sz w:val="20"/>
                <w:szCs w:val="20"/>
              </w:rPr>
              <w:t>Valor Unitario</w:t>
            </w:r>
          </w:p>
        </w:tc>
        <w:tc>
          <w:tcPr>
            <w:tcW w:w="1712"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7BCA7400" w14:textId="77777777" w:rsidR="00BE6367" w:rsidRDefault="00C90F6A">
            <w:pPr>
              <w:jc w:val="both"/>
              <w:rPr>
                <w:rFonts w:ascii="Arial" w:eastAsia="Arial" w:hAnsi="Arial" w:cs="Arial"/>
                <w:sz w:val="20"/>
                <w:szCs w:val="20"/>
              </w:rPr>
            </w:pPr>
            <w:r>
              <w:rPr>
                <w:rFonts w:ascii="Arial" w:eastAsia="Arial" w:hAnsi="Arial" w:cs="Arial"/>
                <w:b/>
                <w:bCs/>
                <w:sz w:val="20"/>
                <w:szCs w:val="20"/>
              </w:rPr>
              <w:t>Valor Total</w:t>
            </w:r>
          </w:p>
        </w:tc>
        <w:tc>
          <w:tcPr>
            <w:tcW w:w="1556"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20D115E5" w14:textId="77777777" w:rsidR="00BE6367" w:rsidRDefault="00C90F6A">
            <w:pPr>
              <w:jc w:val="both"/>
              <w:rPr>
                <w:rFonts w:ascii="Arial" w:eastAsia="Arial" w:hAnsi="Arial" w:cs="Arial"/>
                <w:sz w:val="20"/>
                <w:szCs w:val="20"/>
              </w:rPr>
            </w:pPr>
            <w:r>
              <w:rPr>
                <w:rFonts w:ascii="Arial" w:eastAsia="Arial" w:hAnsi="Arial" w:cs="Arial"/>
                <w:b/>
                <w:bCs/>
                <w:sz w:val="20"/>
                <w:szCs w:val="20"/>
              </w:rPr>
              <w:t>% del Presupuesto Total</w:t>
            </w:r>
          </w:p>
        </w:tc>
      </w:tr>
      <w:tr w:rsidR="00BE6367" w14:paraId="3CE2F5BE" w14:textId="77777777">
        <w:tc>
          <w:tcPr>
            <w:tcW w:w="944"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42075C96" w14:textId="77777777" w:rsidR="00BE6367" w:rsidRDefault="00C90F6A">
            <w:pPr>
              <w:jc w:val="both"/>
              <w:rPr>
                <w:rFonts w:ascii="Arial" w:eastAsia="Arial" w:hAnsi="Arial" w:cs="Arial"/>
                <w:sz w:val="20"/>
                <w:szCs w:val="20"/>
              </w:rPr>
            </w:pPr>
            <w:r>
              <w:rPr>
                <w:rFonts w:ascii="Arial" w:eastAsia="Arial" w:hAnsi="Arial" w:cs="Arial"/>
                <w:sz w:val="20"/>
                <w:szCs w:val="20"/>
              </w:rPr>
              <w:t>1</w:t>
            </w:r>
          </w:p>
        </w:tc>
        <w:tc>
          <w:tcPr>
            <w:tcW w:w="198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2F77B9E4" w14:textId="77777777" w:rsidR="00BE6367" w:rsidRDefault="00C90F6A">
            <w:pPr>
              <w:jc w:val="both"/>
              <w:rPr>
                <w:rFonts w:ascii="Arial" w:eastAsia="Arial" w:hAnsi="Arial" w:cs="Arial"/>
                <w:sz w:val="20"/>
                <w:szCs w:val="20"/>
              </w:rPr>
            </w:pPr>
            <w:r>
              <w:rPr>
                <w:rFonts w:ascii="Arial" w:eastAsia="Arial" w:hAnsi="Arial" w:cs="Arial"/>
                <w:sz w:val="20"/>
                <w:szCs w:val="20"/>
              </w:rPr>
              <w:t>COMPUTADOR DE ESCRITORIO - AIO</w:t>
            </w:r>
          </w:p>
        </w:tc>
        <w:tc>
          <w:tcPr>
            <w:tcW w:w="77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1F2319AD" w14:textId="77777777" w:rsidR="00BE6367" w:rsidRDefault="00C90F6A">
            <w:pPr>
              <w:jc w:val="both"/>
              <w:rPr>
                <w:rFonts w:ascii="Arial" w:eastAsia="Arial" w:hAnsi="Arial" w:cs="Arial"/>
                <w:sz w:val="20"/>
                <w:szCs w:val="20"/>
              </w:rPr>
            </w:pPr>
            <w:r>
              <w:rPr>
                <w:rFonts w:ascii="Arial" w:eastAsia="Arial" w:hAnsi="Arial" w:cs="Arial"/>
                <w:sz w:val="20"/>
                <w:szCs w:val="20"/>
              </w:rPr>
              <w:t>3500</w:t>
            </w:r>
          </w:p>
        </w:tc>
        <w:tc>
          <w:tcPr>
            <w:tcW w:w="1379"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209CBE04" w14:textId="77777777" w:rsidR="00BE6367" w:rsidRDefault="00C90F6A">
            <w:pPr>
              <w:jc w:val="both"/>
              <w:rPr>
                <w:rFonts w:ascii="Arial" w:eastAsia="Arial" w:hAnsi="Arial" w:cs="Arial"/>
                <w:sz w:val="20"/>
                <w:szCs w:val="20"/>
              </w:rPr>
            </w:pPr>
            <w:r>
              <w:rPr>
                <w:rFonts w:ascii="Arial" w:eastAsia="Arial" w:hAnsi="Arial" w:cs="Arial"/>
                <w:sz w:val="20"/>
                <w:szCs w:val="20"/>
              </w:rPr>
              <w:t>$12.057.614</w:t>
            </w:r>
          </w:p>
        </w:tc>
        <w:tc>
          <w:tcPr>
            <w:tcW w:w="1712"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383273D3" w14:textId="77777777" w:rsidR="00BE6367" w:rsidRDefault="00C90F6A">
            <w:pPr>
              <w:jc w:val="both"/>
              <w:rPr>
                <w:rFonts w:ascii="Arial" w:eastAsia="Arial" w:hAnsi="Arial" w:cs="Arial"/>
                <w:sz w:val="20"/>
                <w:szCs w:val="20"/>
              </w:rPr>
            </w:pPr>
            <w:r>
              <w:rPr>
                <w:rFonts w:ascii="Arial" w:eastAsia="Arial" w:hAnsi="Arial" w:cs="Arial"/>
                <w:sz w:val="20"/>
                <w:szCs w:val="20"/>
              </w:rPr>
              <w:t>$42.201.649.000</w:t>
            </w:r>
          </w:p>
        </w:tc>
        <w:tc>
          <w:tcPr>
            <w:tcW w:w="1556"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02922D5D" w14:textId="77777777" w:rsidR="00BE6367" w:rsidRDefault="00C90F6A">
            <w:pPr>
              <w:jc w:val="both"/>
              <w:rPr>
                <w:rFonts w:ascii="Arial" w:eastAsia="Arial" w:hAnsi="Arial" w:cs="Arial"/>
                <w:sz w:val="20"/>
                <w:szCs w:val="20"/>
              </w:rPr>
            </w:pPr>
            <w:r>
              <w:rPr>
                <w:rFonts w:ascii="Arial" w:eastAsia="Arial" w:hAnsi="Arial" w:cs="Arial"/>
                <w:sz w:val="20"/>
                <w:szCs w:val="20"/>
              </w:rPr>
              <w:t>82,01%</w:t>
            </w:r>
          </w:p>
        </w:tc>
      </w:tr>
      <w:tr w:rsidR="00BE6367" w14:paraId="113603DF" w14:textId="77777777">
        <w:tc>
          <w:tcPr>
            <w:tcW w:w="944"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69FA5343" w14:textId="77777777" w:rsidR="00BE6367" w:rsidRDefault="00C90F6A">
            <w:pPr>
              <w:jc w:val="both"/>
              <w:rPr>
                <w:rFonts w:ascii="Arial" w:eastAsia="Arial" w:hAnsi="Arial" w:cs="Arial"/>
                <w:sz w:val="20"/>
                <w:szCs w:val="20"/>
              </w:rPr>
            </w:pPr>
            <w:r>
              <w:rPr>
                <w:rFonts w:ascii="Arial" w:eastAsia="Arial" w:hAnsi="Arial" w:cs="Arial"/>
                <w:sz w:val="20"/>
                <w:szCs w:val="20"/>
              </w:rPr>
              <w:t>2</w:t>
            </w:r>
          </w:p>
        </w:tc>
        <w:tc>
          <w:tcPr>
            <w:tcW w:w="198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43592EFF" w14:textId="77777777" w:rsidR="00BE6367" w:rsidRDefault="00C90F6A">
            <w:pPr>
              <w:jc w:val="both"/>
              <w:rPr>
                <w:rFonts w:ascii="Arial" w:eastAsia="Arial" w:hAnsi="Arial" w:cs="Arial"/>
                <w:sz w:val="20"/>
                <w:szCs w:val="20"/>
              </w:rPr>
            </w:pPr>
            <w:r>
              <w:rPr>
                <w:rFonts w:ascii="Arial" w:eastAsia="Arial" w:hAnsi="Arial" w:cs="Arial"/>
                <w:sz w:val="20"/>
                <w:szCs w:val="20"/>
              </w:rPr>
              <w:t>COMPUTADOR DE ESCRITORIO - WORKSTATION</w:t>
            </w:r>
          </w:p>
        </w:tc>
        <w:tc>
          <w:tcPr>
            <w:tcW w:w="77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4F6CB790" w14:textId="77777777" w:rsidR="00BE6367" w:rsidRDefault="00C90F6A">
            <w:pPr>
              <w:jc w:val="both"/>
              <w:rPr>
                <w:rFonts w:ascii="Arial" w:eastAsia="Arial" w:hAnsi="Arial" w:cs="Arial"/>
                <w:sz w:val="20"/>
                <w:szCs w:val="20"/>
              </w:rPr>
            </w:pPr>
            <w:r>
              <w:rPr>
                <w:rFonts w:ascii="Arial" w:eastAsia="Arial" w:hAnsi="Arial" w:cs="Arial"/>
                <w:sz w:val="20"/>
                <w:szCs w:val="20"/>
              </w:rPr>
              <w:t>23</w:t>
            </w:r>
          </w:p>
        </w:tc>
        <w:tc>
          <w:tcPr>
            <w:tcW w:w="1379"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18CB01BB" w14:textId="77777777" w:rsidR="00BE6367" w:rsidRDefault="00C90F6A">
            <w:pPr>
              <w:jc w:val="both"/>
              <w:rPr>
                <w:rFonts w:ascii="Arial" w:eastAsia="Arial" w:hAnsi="Arial" w:cs="Arial"/>
                <w:sz w:val="20"/>
                <w:szCs w:val="20"/>
              </w:rPr>
            </w:pPr>
            <w:r>
              <w:rPr>
                <w:rFonts w:ascii="Arial" w:eastAsia="Arial" w:hAnsi="Arial" w:cs="Arial"/>
                <w:sz w:val="20"/>
                <w:szCs w:val="20"/>
              </w:rPr>
              <w:t>$73.609.399</w:t>
            </w:r>
          </w:p>
        </w:tc>
        <w:tc>
          <w:tcPr>
            <w:tcW w:w="1712"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3F0E246C" w14:textId="77777777" w:rsidR="00BE6367" w:rsidRDefault="00C90F6A">
            <w:pPr>
              <w:jc w:val="both"/>
              <w:rPr>
                <w:rFonts w:ascii="Arial" w:eastAsia="Arial" w:hAnsi="Arial" w:cs="Arial"/>
                <w:sz w:val="20"/>
                <w:szCs w:val="20"/>
              </w:rPr>
            </w:pPr>
            <w:r>
              <w:rPr>
                <w:rFonts w:ascii="Arial" w:eastAsia="Arial" w:hAnsi="Arial" w:cs="Arial"/>
                <w:sz w:val="20"/>
                <w:szCs w:val="20"/>
              </w:rPr>
              <w:t>$1.693.016.177</w:t>
            </w:r>
          </w:p>
        </w:tc>
        <w:tc>
          <w:tcPr>
            <w:tcW w:w="1556"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1C9813A3" w14:textId="77777777" w:rsidR="00BE6367" w:rsidRDefault="00C90F6A">
            <w:pPr>
              <w:jc w:val="both"/>
              <w:rPr>
                <w:rFonts w:ascii="Arial" w:eastAsia="Arial" w:hAnsi="Arial" w:cs="Arial"/>
                <w:sz w:val="20"/>
                <w:szCs w:val="20"/>
              </w:rPr>
            </w:pPr>
            <w:r>
              <w:rPr>
                <w:rFonts w:ascii="Arial" w:eastAsia="Arial" w:hAnsi="Arial" w:cs="Arial"/>
                <w:sz w:val="20"/>
                <w:szCs w:val="20"/>
              </w:rPr>
              <w:t>3,29%</w:t>
            </w:r>
          </w:p>
        </w:tc>
      </w:tr>
      <w:tr w:rsidR="00BE6367" w14:paraId="306B4B0D" w14:textId="77777777">
        <w:tc>
          <w:tcPr>
            <w:tcW w:w="944"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603F4991" w14:textId="77777777" w:rsidR="00BE6367" w:rsidRDefault="00C90F6A">
            <w:pPr>
              <w:jc w:val="both"/>
              <w:rPr>
                <w:rFonts w:ascii="Arial" w:eastAsia="Arial" w:hAnsi="Arial" w:cs="Arial"/>
                <w:sz w:val="20"/>
                <w:szCs w:val="20"/>
              </w:rPr>
            </w:pPr>
            <w:r>
              <w:rPr>
                <w:rFonts w:ascii="Arial" w:eastAsia="Arial" w:hAnsi="Arial" w:cs="Arial"/>
                <w:sz w:val="20"/>
                <w:szCs w:val="20"/>
              </w:rPr>
              <w:t>9</w:t>
            </w:r>
          </w:p>
        </w:tc>
        <w:tc>
          <w:tcPr>
            <w:tcW w:w="198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76F62B6B" w14:textId="77777777" w:rsidR="00BE6367" w:rsidRDefault="00C90F6A">
            <w:pPr>
              <w:jc w:val="both"/>
              <w:rPr>
                <w:rFonts w:ascii="Arial" w:eastAsia="Arial" w:hAnsi="Arial" w:cs="Arial"/>
                <w:sz w:val="20"/>
                <w:szCs w:val="20"/>
              </w:rPr>
            </w:pPr>
            <w:r>
              <w:rPr>
                <w:rFonts w:ascii="Arial" w:eastAsia="Arial" w:hAnsi="Arial" w:cs="Arial"/>
                <w:sz w:val="20"/>
                <w:szCs w:val="20"/>
              </w:rPr>
              <w:t>MONITOR PARA EQUIPOS DE CÓMPUTO</w:t>
            </w:r>
          </w:p>
        </w:tc>
        <w:tc>
          <w:tcPr>
            <w:tcW w:w="77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5CECAFB7" w14:textId="77777777" w:rsidR="00BE6367" w:rsidRDefault="00C90F6A">
            <w:pPr>
              <w:jc w:val="both"/>
              <w:rPr>
                <w:rFonts w:ascii="Arial" w:eastAsia="Arial" w:hAnsi="Arial" w:cs="Arial"/>
                <w:sz w:val="20"/>
                <w:szCs w:val="20"/>
              </w:rPr>
            </w:pPr>
            <w:r>
              <w:rPr>
                <w:rFonts w:ascii="Arial" w:eastAsia="Arial" w:hAnsi="Arial" w:cs="Arial"/>
                <w:sz w:val="20"/>
                <w:szCs w:val="20"/>
              </w:rPr>
              <w:t>50</w:t>
            </w:r>
          </w:p>
        </w:tc>
        <w:tc>
          <w:tcPr>
            <w:tcW w:w="1379"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7F1DE574" w14:textId="77777777" w:rsidR="00BE6367" w:rsidRDefault="00C90F6A">
            <w:pPr>
              <w:jc w:val="both"/>
              <w:rPr>
                <w:rFonts w:ascii="Arial" w:eastAsia="Arial" w:hAnsi="Arial" w:cs="Arial"/>
                <w:sz w:val="20"/>
                <w:szCs w:val="20"/>
              </w:rPr>
            </w:pPr>
            <w:r>
              <w:rPr>
                <w:rFonts w:ascii="Arial" w:eastAsia="Arial" w:hAnsi="Arial" w:cs="Arial"/>
                <w:sz w:val="20"/>
                <w:szCs w:val="20"/>
              </w:rPr>
              <w:t>$806.305</w:t>
            </w:r>
          </w:p>
        </w:tc>
        <w:tc>
          <w:tcPr>
            <w:tcW w:w="1712"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38F89B83" w14:textId="77777777" w:rsidR="00BE6367" w:rsidRDefault="00C90F6A">
            <w:pPr>
              <w:jc w:val="both"/>
              <w:rPr>
                <w:rFonts w:ascii="Arial" w:eastAsia="Arial" w:hAnsi="Arial" w:cs="Arial"/>
                <w:sz w:val="20"/>
                <w:szCs w:val="20"/>
              </w:rPr>
            </w:pPr>
            <w:r>
              <w:rPr>
                <w:rFonts w:ascii="Arial" w:eastAsia="Arial" w:hAnsi="Arial" w:cs="Arial"/>
                <w:sz w:val="20"/>
                <w:szCs w:val="20"/>
              </w:rPr>
              <w:t>$40.315.250</w:t>
            </w:r>
          </w:p>
        </w:tc>
        <w:tc>
          <w:tcPr>
            <w:tcW w:w="1556"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3472BA8C" w14:textId="77777777" w:rsidR="00BE6367" w:rsidRDefault="00C90F6A">
            <w:pPr>
              <w:jc w:val="both"/>
              <w:rPr>
                <w:rFonts w:ascii="Arial" w:eastAsia="Arial" w:hAnsi="Arial" w:cs="Arial"/>
                <w:sz w:val="20"/>
                <w:szCs w:val="20"/>
              </w:rPr>
            </w:pPr>
            <w:r>
              <w:rPr>
                <w:rFonts w:ascii="Arial" w:eastAsia="Arial" w:hAnsi="Arial" w:cs="Arial"/>
                <w:sz w:val="20"/>
                <w:szCs w:val="20"/>
              </w:rPr>
              <w:t>0,08%</w:t>
            </w:r>
          </w:p>
        </w:tc>
      </w:tr>
      <w:tr w:rsidR="00BE6367" w14:paraId="26E56A66" w14:textId="77777777">
        <w:tc>
          <w:tcPr>
            <w:tcW w:w="944"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1F2B026C" w14:textId="77777777" w:rsidR="00BE6367" w:rsidRDefault="00C90F6A">
            <w:pPr>
              <w:jc w:val="both"/>
              <w:rPr>
                <w:rFonts w:ascii="Arial" w:eastAsia="Arial" w:hAnsi="Arial" w:cs="Arial"/>
                <w:sz w:val="20"/>
                <w:szCs w:val="20"/>
              </w:rPr>
            </w:pPr>
            <w:r>
              <w:rPr>
                <w:rFonts w:ascii="Arial" w:eastAsia="Arial" w:hAnsi="Arial" w:cs="Arial"/>
                <w:sz w:val="20"/>
                <w:szCs w:val="20"/>
              </w:rPr>
              <w:t>10</w:t>
            </w:r>
          </w:p>
        </w:tc>
        <w:tc>
          <w:tcPr>
            <w:tcW w:w="198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5008B4C3" w14:textId="77777777" w:rsidR="00BE6367" w:rsidRDefault="00C90F6A">
            <w:pPr>
              <w:jc w:val="both"/>
              <w:rPr>
                <w:rFonts w:ascii="Arial" w:eastAsia="Arial" w:hAnsi="Arial" w:cs="Arial"/>
                <w:sz w:val="20"/>
                <w:szCs w:val="20"/>
              </w:rPr>
            </w:pPr>
            <w:r>
              <w:rPr>
                <w:rFonts w:ascii="Arial" w:eastAsia="Arial" w:hAnsi="Arial" w:cs="Arial"/>
                <w:sz w:val="20"/>
                <w:szCs w:val="20"/>
              </w:rPr>
              <w:t>TECLADOS</w:t>
            </w:r>
          </w:p>
        </w:tc>
        <w:tc>
          <w:tcPr>
            <w:tcW w:w="77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790B7A46" w14:textId="77777777" w:rsidR="00BE6367" w:rsidRDefault="00C90F6A">
            <w:pPr>
              <w:jc w:val="both"/>
              <w:rPr>
                <w:rFonts w:ascii="Arial" w:eastAsia="Arial" w:hAnsi="Arial" w:cs="Arial"/>
                <w:sz w:val="20"/>
                <w:szCs w:val="20"/>
              </w:rPr>
            </w:pPr>
            <w:r>
              <w:rPr>
                <w:rFonts w:ascii="Arial" w:eastAsia="Arial" w:hAnsi="Arial" w:cs="Arial"/>
                <w:sz w:val="20"/>
                <w:szCs w:val="20"/>
              </w:rPr>
              <w:t>50</w:t>
            </w:r>
          </w:p>
        </w:tc>
        <w:tc>
          <w:tcPr>
            <w:tcW w:w="1379"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485EBCAD" w14:textId="77777777" w:rsidR="00BE6367" w:rsidRDefault="00C90F6A">
            <w:pPr>
              <w:jc w:val="both"/>
              <w:rPr>
                <w:rFonts w:ascii="Arial" w:eastAsia="Arial" w:hAnsi="Arial" w:cs="Arial"/>
                <w:sz w:val="20"/>
                <w:szCs w:val="20"/>
              </w:rPr>
            </w:pPr>
            <w:r>
              <w:rPr>
                <w:rFonts w:ascii="Arial" w:eastAsia="Arial" w:hAnsi="Arial" w:cs="Arial"/>
                <w:sz w:val="20"/>
                <w:szCs w:val="20"/>
              </w:rPr>
              <w:t>$115.451</w:t>
            </w:r>
          </w:p>
        </w:tc>
        <w:tc>
          <w:tcPr>
            <w:tcW w:w="1712"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75790C64" w14:textId="77777777" w:rsidR="00BE6367" w:rsidRDefault="00C90F6A">
            <w:pPr>
              <w:jc w:val="both"/>
              <w:rPr>
                <w:rFonts w:ascii="Arial" w:eastAsia="Arial" w:hAnsi="Arial" w:cs="Arial"/>
                <w:sz w:val="20"/>
                <w:szCs w:val="20"/>
              </w:rPr>
            </w:pPr>
            <w:r>
              <w:rPr>
                <w:rFonts w:ascii="Arial" w:eastAsia="Arial" w:hAnsi="Arial" w:cs="Arial"/>
                <w:sz w:val="20"/>
                <w:szCs w:val="20"/>
              </w:rPr>
              <w:t>$5.772.550</w:t>
            </w:r>
          </w:p>
        </w:tc>
        <w:tc>
          <w:tcPr>
            <w:tcW w:w="1556"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3FDD4679" w14:textId="77777777" w:rsidR="00BE6367" w:rsidRDefault="00C90F6A">
            <w:pPr>
              <w:jc w:val="both"/>
              <w:rPr>
                <w:rFonts w:ascii="Arial" w:eastAsia="Arial" w:hAnsi="Arial" w:cs="Arial"/>
                <w:sz w:val="20"/>
                <w:szCs w:val="20"/>
              </w:rPr>
            </w:pPr>
            <w:r>
              <w:rPr>
                <w:rFonts w:ascii="Arial" w:eastAsia="Arial" w:hAnsi="Arial" w:cs="Arial"/>
                <w:sz w:val="20"/>
                <w:szCs w:val="20"/>
              </w:rPr>
              <w:t>0,01%</w:t>
            </w:r>
          </w:p>
        </w:tc>
      </w:tr>
      <w:tr w:rsidR="00BE6367" w14:paraId="40E53686" w14:textId="77777777">
        <w:tc>
          <w:tcPr>
            <w:tcW w:w="944"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4A2F87BF"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11</w:t>
            </w:r>
          </w:p>
        </w:tc>
        <w:tc>
          <w:tcPr>
            <w:tcW w:w="198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1C77892C" w14:textId="77777777" w:rsidR="00BE6367" w:rsidRDefault="00C90F6A">
            <w:pPr>
              <w:jc w:val="both"/>
              <w:rPr>
                <w:rFonts w:ascii="Arial" w:eastAsia="Arial" w:hAnsi="Arial" w:cs="Arial"/>
                <w:sz w:val="20"/>
                <w:szCs w:val="20"/>
              </w:rPr>
            </w:pPr>
            <w:r>
              <w:rPr>
                <w:rFonts w:ascii="Arial" w:eastAsia="Arial" w:hAnsi="Arial" w:cs="Arial"/>
                <w:sz w:val="20"/>
                <w:szCs w:val="20"/>
              </w:rPr>
              <w:t>MOUSE</w:t>
            </w:r>
          </w:p>
        </w:tc>
        <w:tc>
          <w:tcPr>
            <w:tcW w:w="77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30D62E35" w14:textId="77777777" w:rsidR="00BE6367" w:rsidRDefault="00C90F6A">
            <w:pPr>
              <w:jc w:val="both"/>
              <w:rPr>
                <w:rFonts w:ascii="Arial" w:eastAsia="Arial" w:hAnsi="Arial" w:cs="Arial"/>
                <w:sz w:val="20"/>
                <w:szCs w:val="20"/>
              </w:rPr>
            </w:pPr>
            <w:r>
              <w:rPr>
                <w:rFonts w:ascii="Arial" w:eastAsia="Arial" w:hAnsi="Arial" w:cs="Arial"/>
                <w:sz w:val="20"/>
                <w:szCs w:val="20"/>
              </w:rPr>
              <w:t>50</w:t>
            </w:r>
          </w:p>
        </w:tc>
        <w:tc>
          <w:tcPr>
            <w:tcW w:w="1379"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23B77D33" w14:textId="77777777" w:rsidR="00BE6367" w:rsidRDefault="00C90F6A">
            <w:pPr>
              <w:jc w:val="both"/>
              <w:rPr>
                <w:rFonts w:ascii="Arial" w:eastAsia="Arial" w:hAnsi="Arial" w:cs="Arial"/>
                <w:sz w:val="20"/>
                <w:szCs w:val="20"/>
              </w:rPr>
            </w:pPr>
            <w:r>
              <w:rPr>
                <w:rFonts w:ascii="Arial" w:eastAsia="Arial" w:hAnsi="Arial" w:cs="Arial"/>
                <w:sz w:val="20"/>
                <w:szCs w:val="20"/>
              </w:rPr>
              <w:t>$57.725</w:t>
            </w:r>
          </w:p>
        </w:tc>
        <w:tc>
          <w:tcPr>
            <w:tcW w:w="1712"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514ACE1D" w14:textId="77777777" w:rsidR="00BE6367" w:rsidRDefault="00C90F6A">
            <w:pPr>
              <w:jc w:val="both"/>
              <w:rPr>
                <w:rFonts w:ascii="Arial" w:eastAsia="Arial" w:hAnsi="Arial" w:cs="Arial"/>
                <w:sz w:val="20"/>
                <w:szCs w:val="20"/>
              </w:rPr>
            </w:pPr>
            <w:r>
              <w:rPr>
                <w:rFonts w:ascii="Arial" w:eastAsia="Arial" w:hAnsi="Arial" w:cs="Arial"/>
                <w:sz w:val="20"/>
                <w:szCs w:val="20"/>
              </w:rPr>
              <w:t>$2.886.250</w:t>
            </w:r>
          </w:p>
        </w:tc>
        <w:tc>
          <w:tcPr>
            <w:tcW w:w="1556"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3DD21E67" w14:textId="77777777" w:rsidR="00BE6367" w:rsidRDefault="00C90F6A">
            <w:pPr>
              <w:jc w:val="both"/>
              <w:rPr>
                <w:rFonts w:ascii="Arial" w:eastAsia="Arial" w:hAnsi="Arial" w:cs="Arial"/>
                <w:sz w:val="20"/>
                <w:szCs w:val="20"/>
              </w:rPr>
            </w:pPr>
            <w:r>
              <w:rPr>
                <w:rFonts w:ascii="Arial" w:eastAsia="Arial" w:hAnsi="Arial" w:cs="Arial"/>
                <w:sz w:val="20"/>
                <w:szCs w:val="20"/>
              </w:rPr>
              <w:t>0,01%</w:t>
            </w:r>
          </w:p>
        </w:tc>
      </w:tr>
      <w:tr w:rsidR="00BE6367" w14:paraId="0A42F15D" w14:textId="77777777">
        <w:tc>
          <w:tcPr>
            <w:tcW w:w="944"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34699C1B" w14:textId="77777777" w:rsidR="00BE6367" w:rsidRDefault="00C90F6A">
            <w:pPr>
              <w:jc w:val="both"/>
              <w:rPr>
                <w:rFonts w:ascii="Arial" w:eastAsia="Arial" w:hAnsi="Arial" w:cs="Arial"/>
                <w:sz w:val="20"/>
                <w:szCs w:val="20"/>
              </w:rPr>
            </w:pPr>
            <w:r>
              <w:rPr>
                <w:rFonts w:ascii="Arial" w:eastAsia="Arial" w:hAnsi="Arial" w:cs="Arial"/>
                <w:sz w:val="20"/>
                <w:szCs w:val="20"/>
              </w:rPr>
              <w:t>37</w:t>
            </w:r>
          </w:p>
        </w:tc>
        <w:tc>
          <w:tcPr>
            <w:tcW w:w="198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52968116" w14:textId="77777777" w:rsidR="00BE6367" w:rsidRDefault="00C90F6A">
            <w:pPr>
              <w:jc w:val="both"/>
              <w:rPr>
                <w:rFonts w:ascii="Arial" w:eastAsia="Arial" w:hAnsi="Arial" w:cs="Arial"/>
                <w:sz w:val="20"/>
                <w:szCs w:val="20"/>
              </w:rPr>
            </w:pPr>
            <w:r>
              <w:rPr>
                <w:rFonts w:ascii="Arial" w:eastAsia="Arial" w:hAnsi="Arial" w:cs="Arial"/>
                <w:sz w:val="20"/>
                <w:szCs w:val="20"/>
              </w:rPr>
              <w:t>ALTAVOZ PROFESIONAL</w:t>
            </w:r>
          </w:p>
        </w:tc>
        <w:tc>
          <w:tcPr>
            <w:tcW w:w="77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72E31B8E" w14:textId="77777777" w:rsidR="00BE6367" w:rsidRDefault="00C90F6A">
            <w:pPr>
              <w:jc w:val="both"/>
              <w:rPr>
                <w:rFonts w:ascii="Arial" w:eastAsia="Arial" w:hAnsi="Arial" w:cs="Arial"/>
                <w:sz w:val="20"/>
                <w:szCs w:val="20"/>
              </w:rPr>
            </w:pPr>
            <w:r>
              <w:rPr>
                <w:rFonts w:ascii="Arial" w:eastAsia="Arial" w:hAnsi="Arial" w:cs="Arial"/>
                <w:sz w:val="20"/>
                <w:szCs w:val="20"/>
              </w:rPr>
              <w:t>60</w:t>
            </w:r>
          </w:p>
        </w:tc>
        <w:tc>
          <w:tcPr>
            <w:tcW w:w="1379"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0DA50C60" w14:textId="77777777" w:rsidR="00BE6367" w:rsidRDefault="00C90F6A">
            <w:pPr>
              <w:jc w:val="both"/>
              <w:rPr>
                <w:rFonts w:ascii="Arial" w:eastAsia="Arial" w:hAnsi="Arial" w:cs="Arial"/>
                <w:sz w:val="20"/>
                <w:szCs w:val="20"/>
              </w:rPr>
            </w:pPr>
            <w:r>
              <w:rPr>
                <w:rFonts w:ascii="Arial" w:eastAsia="Arial" w:hAnsi="Arial" w:cs="Arial"/>
                <w:sz w:val="20"/>
                <w:szCs w:val="20"/>
              </w:rPr>
              <w:t>$5.752.327</w:t>
            </w:r>
          </w:p>
        </w:tc>
        <w:tc>
          <w:tcPr>
            <w:tcW w:w="1712"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0FD88709" w14:textId="77777777" w:rsidR="00BE6367" w:rsidRDefault="00C90F6A">
            <w:pPr>
              <w:jc w:val="both"/>
              <w:rPr>
                <w:rFonts w:ascii="Arial" w:eastAsia="Arial" w:hAnsi="Arial" w:cs="Arial"/>
                <w:sz w:val="20"/>
                <w:szCs w:val="20"/>
              </w:rPr>
            </w:pPr>
            <w:r>
              <w:rPr>
                <w:rFonts w:ascii="Arial" w:eastAsia="Arial" w:hAnsi="Arial" w:cs="Arial"/>
                <w:sz w:val="20"/>
                <w:szCs w:val="20"/>
              </w:rPr>
              <w:t>$345.139.620</w:t>
            </w:r>
          </w:p>
        </w:tc>
        <w:tc>
          <w:tcPr>
            <w:tcW w:w="1556"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00C114AD" w14:textId="77777777" w:rsidR="00BE6367" w:rsidRDefault="00C90F6A">
            <w:pPr>
              <w:jc w:val="both"/>
              <w:rPr>
                <w:rFonts w:ascii="Arial" w:eastAsia="Arial" w:hAnsi="Arial" w:cs="Arial"/>
                <w:sz w:val="20"/>
                <w:szCs w:val="20"/>
              </w:rPr>
            </w:pPr>
            <w:r>
              <w:rPr>
                <w:rFonts w:ascii="Arial" w:eastAsia="Arial" w:hAnsi="Arial" w:cs="Arial"/>
                <w:sz w:val="20"/>
                <w:szCs w:val="20"/>
              </w:rPr>
              <w:t>0,67%</w:t>
            </w:r>
          </w:p>
        </w:tc>
      </w:tr>
      <w:tr w:rsidR="00BE6367" w14:paraId="3BAB97A8" w14:textId="77777777">
        <w:tc>
          <w:tcPr>
            <w:tcW w:w="944"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45323F53" w14:textId="77777777" w:rsidR="00BE6367" w:rsidRDefault="00C90F6A">
            <w:pPr>
              <w:jc w:val="both"/>
              <w:rPr>
                <w:rFonts w:ascii="Arial" w:eastAsia="Arial" w:hAnsi="Arial" w:cs="Arial"/>
                <w:sz w:val="20"/>
                <w:szCs w:val="20"/>
              </w:rPr>
            </w:pPr>
            <w:r>
              <w:rPr>
                <w:rFonts w:ascii="Arial" w:eastAsia="Arial" w:hAnsi="Arial" w:cs="Arial"/>
                <w:sz w:val="20"/>
                <w:szCs w:val="20"/>
              </w:rPr>
              <w:t>38</w:t>
            </w:r>
          </w:p>
        </w:tc>
        <w:tc>
          <w:tcPr>
            <w:tcW w:w="198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33B41D85" w14:textId="77777777" w:rsidR="00BE6367" w:rsidRDefault="00C90F6A">
            <w:pPr>
              <w:jc w:val="both"/>
              <w:rPr>
                <w:rFonts w:ascii="Arial" w:eastAsia="Arial" w:hAnsi="Arial" w:cs="Arial"/>
                <w:sz w:val="20"/>
                <w:szCs w:val="20"/>
              </w:rPr>
            </w:pPr>
            <w:r>
              <w:rPr>
                <w:rFonts w:ascii="Arial" w:eastAsia="Arial" w:hAnsi="Arial" w:cs="Arial"/>
                <w:sz w:val="20"/>
                <w:szCs w:val="20"/>
              </w:rPr>
              <w:t>SOLUCIÓN COMPLETA DE VIDEO</w:t>
            </w:r>
          </w:p>
        </w:tc>
        <w:tc>
          <w:tcPr>
            <w:tcW w:w="77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1FDD48B1" w14:textId="77777777" w:rsidR="00BE6367" w:rsidRDefault="00C90F6A">
            <w:pPr>
              <w:jc w:val="both"/>
              <w:rPr>
                <w:rFonts w:ascii="Arial" w:eastAsia="Arial" w:hAnsi="Arial" w:cs="Arial"/>
                <w:sz w:val="20"/>
                <w:szCs w:val="20"/>
              </w:rPr>
            </w:pPr>
            <w:r>
              <w:rPr>
                <w:rFonts w:ascii="Arial" w:eastAsia="Arial" w:hAnsi="Arial" w:cs="Arial"/>
                <w:sz w:val="20"/>
                <w:szCs w:val="20"/>
              </w:rPr>
              <w:t>60</w:t>
            </w:r>
          </w:p>
        </w:tc>
        <w:tc>
          <w:tcPr>
            <w:tcW w:w="1379"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073A6BD2" w14:textId="77777777" w:rsidR="00BE6367" w:rsidRDefault="00C90F6A">
            <w:pPr>
              <w:jc w:val="both"/>
              <w:rPr>
                <w:rFonts w:ascii="Arial" w:eastAsia="Arial" w:hAnsi="Arial" w:cs="Arial"/>
                <w:sz w:val="20"/>
                <w:szCs w:val="20"/>
              </w:rPr>
            </w:pPr>
            <w:r>
              <w:rPr>
                <w:rFonts w:ascii="Arial" w:eastAsia="Arial" w:hAnsi="Arial" w:cs="Arial"/>
                <w:sz w:val="20"/>
                <w:szCs w:val="20"/>
              </w:rPr>
              <w:t>$29.772.516</w:t>
            </w:r>
          </w:p>
        </w:tc>
        <w:tc>
          <w:tcPr>
            <w:tcW w:w="1712"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67470FA2" w14:textId="77777777" w:rsidR="00BE6367" w:rsidRDefault="00C90F6A">
            <w:pPr>
              <w:jc w:val="both"/>
              <w:rPr>
                <w:rFonts w:ascii="Arial" w:eastAsia="Arial" w:hAnsi="Arial" w:cs="Arial"/>
                <w:sz w:val="20"/>
                <w:szCs w:val="20"/>
              </w:rPr>
            </w:pPr>
            <w:r>
              <w:rPr>
                <w:rFonts w:ascii="Arial" w:eastAsia="Arial" w:hAnsi="Arial" w:cs="Arial"/>
                <w:sz w:val="20"/>
                <w:szCs w:val="20"/>
              </w:rPr>
              <w:t>$1.786.350.960</w:t>
            </w:r>
          </w:p>
        </w:tc>
        <w:tc>
          <w:tcPr>
            <w:tcW w:w="1556"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2C2FAA78" w14:textId="77777777" w:rsidR="00BE6367" w:rsidRDefault="00C90F6A">
            <w:pPr>
              <w:jc w:val="both"/>
              <w:rPr>
                <w:rFonts w:ascii="Arial" w:eastAsia="Arial" w:hAnsi="Arial" w:cs="Arial"/>
                <w:sz w:val="20"/>
                <w:szCs w:val="20"/>
              </w:rPr>
            </w:pPr>
            <w:r>
              <w:rPr>
                <w:rFonts w:ascii="Arial" w:eastAsia="Arial" w:hAnsi="Arial" w:cs="Arial"/>
                <w:sz w:val="20"/>
                <w:szCs w:val="20"/>
              </w:rPr>
              <w:t>3,47%</w:t>
            </w:r>
          </w:p>
        </w:tc>
      </w:tr>
      <w:tr w:rsidR="00BE6367" w14:paraId="126DF849" w14:textId="77777777">
        <w:tc>
          <w:tcPr>
            <w:tcW w:w="944"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40E5EE9C" w14:textId="77777777" w:rsidR="00BE6367" w:rsidRDefault="00C90F6A">
            <w:pPr>
              <w:jc w:val="both"/>
              <w:rPr>
                <w:rFonts w:ascii="Arial" w:eastAsia="Arial" w:hAnsi="Arial" w:cs="Arial"/>
                <w:sz w:val="20"/>
                <w:szCs w:val="20"/>
              </w:rPr>
            </w:pPr>
            <w:r>
              <w:rPr>
                <w:rFonts w:ascii="Arial" w:eastAsia="Arial" w:hAnsi="Arial" w:cs="Arial"/>
                <w:sz w:val="20"/>
                <w:szCs w:val="20"/>
              </w:rPr>
              <w:t>39</w:t>
            </w:r>
          </w:p>
        </w:tc>
        <w:tc>
          <w:tcPr>
            <w:tcW w:w="198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4FFFA3B3" w14:textId="77777777" w:rsidR="00BE6367" w:rsidRDefault="00C90F6A">
            <w:pPr>
              <w:jc w:val="both"/>
              <w:rPr>
                <w:rFonts w:ascii="Arial" w:eastAsia="Arial" w:hAnsi="Arial" w:cs="Arial"/>
                <w:sz w:val="20"/>
                <w:szCs w:val="20"/>
              </w:rPr>
            </w:pPr>
            <w:r>
              <w:rPr>
                <w:rFonts w:ascii="Arial" w:eastAsia="Arial" w:hAnsi="Arial" w:cs="Arial"/>
                <w:sz w:val="20"/>
                <w:szCs w:val="20"/>
              </w:rPr>
              <w:t>UNIDAD CENTRAL DE CONFERENCIA</w:t>
            </w:r>
          </w:p>
        </w:tc>
        <w:tc>
          <w:tcPr>
            <w:tcW w:w="77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1D37D961" w14:textId="77777777" w:rsidR="00BE6367" w:rsidRDefault="00C90F6A">
            <w:pPr>
              <w:jc w:val="both"/>
              <w:rPr>
                <w:rFonts w:ascii="Arial" w:eastAsia="Arial" w:hAnsi="Arial" w:cs="Arial"/>
                <w:sz w:val="20"/>
                <w:szCs w:val="20"/>
              </w:rPr>
            </w:pPr>
            <w:r>
              <w:rPr>
                <w:rFonts w:ascii="Arial" w:eastAsia="Arial" w:hAnsi="Arial" w:cs="Arial"/>
                <w:sz w:val="20"/>
                <w:szCs w:val="20"/>
              </w:rPr>
              <w:t>1</w:t>
            </w:r>
          </w:p>
        </w:tc>
        <w:tc>
          <w:tcPr>
            <w:tcW w:w="1379"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029B1F6E" w14:textId="77777777" w:rsidR="00BE6367" w:rsidRDefault="00C90F6A">
            <w:pPr>
              <w:jc w:val="both"/>
              <w:rPr>
                <w:rFonts w:ascii="Arial" w:eastAsia="Arial" w:hAnsi="Arial" w:cs="Arial"/>
                <w:sz w:val="20"/>
                <w:szCs w:val="20"/>
              </w:rPr>
            </w:pPr>
            <w:r>
              <w:rPr>
                <w:rFonts w:ascii="Arial" w:eastAsia="Arial" w:hAnsi="Arial" w:cs="Arial"/>
                <w:sz w:val="20"/>
                <w:szCs w:val="20"/>
              </w:rPr>
              <w:t>$47.640.692</w:t>
            </w:r>
          </w:p>
        </w:tc>
        <w:tc>
          <w:tcPr>
            <w:tcW w:w="1712"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1411737D" w14:textId="77777777" w:rsidR="00BE6367" w:rsidRDefault="00C90F6A">
            <w:pPr>
              <w:jc w:val="both"/>
              <w:rPr>
                <w:rFonts w:ascii="Arial" w:eastAsia="Arial" w:hAnsi="Arial" w:cs="Arial"/>
                <w:sz w:val="20"/>
                <w:szCs w:val="20"/>
              </w:rPr>
            </w:pPr>
            <w:r>
              <w:rPr>
                <w:rFonts w:ascii="Arial" w:eastAsia="Arial" w:hAnsi="Arial" w:cs="Arial"/>
                <w:sz w:val="20"/>
                <w:szCs w:val="20"/>
              </w:rPr>
              <w:t>$47.640.692</w:t>
            </w:r>
          </w:p>
        </w:tc>
        <w:tc>
          <w:tcPr>
            <w:tcW w:w="1556"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7C88428C" w14:textId="77777777" w:rsidR="00BE6367" w:rsidRDefault="00C90F6A">
            <w:pPr>
              <w:jc w:val="both"/>
              <w:rPr>
                <w:rFonts w:ascii="Arial" w:eastAsia="Arial" w:hAnsi="Arial" w:cs="Arial"/>
                <w:sz w:val="20"/>
                <w:szCs w:val="20"/>
              </w:rPr>
            </w:pPr>
            <w:r>
              <w:rPr>
                <w:rFonts w:ascii="Arial" w:eastAsia="Arial" w:hAnsi="Arial" w:cs="Arial"/>
                <w:sz w:val="20"/>
                <w:szCs w:val="20"/>
              </w:rPr>
              <w:t>0,09%</w:t>
            </w:r>
          </w:p>
        </w:tc>
      </w:tr>
      <w:tr w:rsidR="00BE6367" w14:paraId="7560C3B8" w14:textId="77777777">
        <w:tc>
          <w:tcPr>
            <w:tcW w:w="944"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1FDAD313" w14:textId="77777777" w:rsidR="00BE6367" w:rsidRDefault="00C90F6A">
            <w:pPr>
              <w:jc w:val="both"/>
              <w:rPr>
                <w:rFonts w:ascii="Arial" w:eastAsia="Arial" w:hAnsi="Arial" w:cs="Arial"/>
                <w:sz w:val="20"/>
                <w:szCs w:val="20"/>
              </w:rPr>
            </w:pPr>
            <w:r>
              <w:rPr>
                <w:rFonts w:ascii="Arial" w:eastAsia="Arial" w:hAnsi="Arial" w:cs="Arial"/>
                <w:sz w:val="20"/>
                <w:szCs w:val="20"/>
              </w:rPr>
              <w:t>40</w:t>
            </w:r>
          </w:p>
        </w:tc>
        <w:tc>
          <w:tcPr>
            <w:tcW w:w="198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28E04F7A" w14:textId="77777777" w:rsidR="00BE6367" w:rsidRDefault="00C90F6A">
            <w:pPr>
              <w:jc w:val="both"/>
              <w:rPr>
                <w:rFonts w:ascii="Arial" w:eastAsia="Arial" w:hAnsi="Arial" w:cs="Arial"/>
                <w:sz w:val="20"/>
                <w:szCs w:val="20"/>
              </w:rPr>
            </w:pPr>
            <w:r>
              <w:rPr>
                <w:rFonts w:ascii="Arial" w:eastAsia="Arial" w:hAnsi="Arial" w:cs="Arial"/>
                <w:sz w:val="20"/>
                <w:szCs w:val="20"/>
              </w:rPr>
              <w:t>MICRÓFONO 50 CMS</w:t>
            </w:r>
          </w:p>
        </w:tc>
        <w:tc>
          <w:tcPr>
            <w:tcW w:w="77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4055D16A" w14:textId="77777777" w:rsidR="00BE6367" w:rsidRDefault="00C90F6A">
            <w:pPr>
              <w:jc w:val="both"/>
              <w:rPr>
                <w:rFonts w:ascii="Arial" w:eastAsia="Arial" w:hAnsi="Arial" w:cs="Arial"/>
                <w:sz w:val="20"/>
                <w:szCs w:val="20"/>
              </w:rPr>
            </w:pPr>
            <w:r>
              <w:rPr>
                <w:rFonts w:ascii="Arial" w:eastAsia="Arial" w:hAnsi="Arial" w:cs="Arial"/>
                <w:sz w:val="20"/>
                <w:szCs w:val="20"/>
              </w:rPr>
              <w:t>6</w:t>
            </w:r>
          </w:p>
        </w:tc>
        <w:tc>
          <w:tcPr>
            <w:tcW w:w="1379"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374F9E09" w14:textId="77777777" w:rsidR="00BE6367" w:rsidRDefault="00C90F6A">
            <w:pPr>
              <w:jc w:val="both"/>
              <w:rPr>
                <w:rFonts w:ascii="Arial" w:eastAsia="Arial" w:hAnsi="Arial" w:cs="Arial"/>
                <w:sz w:val="20"/>
                <w:szCs w:val="20"/>
              </w:rPr>
            </w:pPr>
            <w:r>
              <w:rPr>
                <w:rFonts w:ascii="Arial" w:eastAsia="Arial" w:hAnsi="Arial" w:cs="Arial"/>
                <w:sz w:val="20"/>
                <w:szCs w:val="20"/>
              </w:rPr>
              <w:t>$2.108.148</w:t>
            </w:r>
          </w:p>
        </w:tc>
        <w:tc>
          <w:tcPr>
            <w:tcW w:w="1712"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046E8089" w14:textId="77777777" w:rsidR="00BE6367" w:rsidRDefault="00C90F6A">
            <w:pPr>
              <w:jc w:val="both"/>
              <w:rPr>
                <w:rFonts w:ascii="Arial" w:eastAsia="Arial" w:hAnsi="Arial" w:cs="Arial"/>
                <w:sz w:val="20"/>
                <w:szCs w:val="20"/>
              </w:rPr>
            </w:pPr>
            <w:r>
              <w:rPr>
                <w:rFonts w:ascii="Arial" w:eastAsia="Arial" w:hAnsi="Arial" w:cs="Arial"/>
                <w:sz w:val="20"/>
                <w:szCs w:val="20"/>
              </w:rPr>
              <w:t>$12.648.888</w:t>
            </w:r>
          </w:p>
        </w:tc>
        <w:tc>
          <w:tcPr>
            <w:tcW w:w="1556"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1E45C344" w14:textId="77777777" w:rsidR="00BE6367" w:rsidRDefault="00C90F6A">
            <w:pPr>
              <w:jc w:val="both"/>
              <w:rPr>
                <w:rFonts w:ascii="Arial" w:eastAsia="Arial" w:hAnsi="Arial" w:cs="Arial"/>
                <w:sz w:val="20"/>
                <w:szCs w:val="20"/>
              </w:rPr>
            </w:pPr>
            <w:r>
              <w:rPr>
                <w:rFonts w:ascii="Arial" w:eastAsia="Arial" w:hAnsi="Arial" w:cs="Arial"/>
                <w:sz w:val="20"/>
                <w:szCs w:val="20"/>
              </w:rPr>
              <w:t>0,02%</w:t>
            </w:r>
          </w:p>
        </w:tc>
      </w:tr>
      <w:tr w:rsidR="00BE6367" w14:paraId="369DBB6A" w14:textId="77777777">
        <w:tc>
          <w:tcPr>
            <w:tcW w:w="944"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1C4156A4" w14:textId="77777777" w:rsidR="00BE6367" w:rsidRDefault="00C90F6A">
            <w:pPr>
              <w:jc w:val="both"/>
              <w:rPr>
                <w:rFonts w:ascii="Arial" w:eastAsia="Arial" w:hAnsi="Arial" w:cs="Arial"/>
                <w:sz w:val="20"/>
                <w:szCs w:val="20"/>
              </w:rPr>
            </w:pPr>
            <w:r>
              <w:rPr>
                <w:rFonts w:ascii="Arial" w:eastAsia="Arial" w:hAnsi="Arial" w:cs="Arial"/>
                <w:sz w:val="20"/>
                <w:szCs w:val="20"/>
              </w:rPr>
              <w:t>41</w:t>
            </w:r>
          </w:p>
        </w:tc>
        <w:tc>
          <w:tcPr>
            <w:tcW w:w="198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11A5A188" w14:textId="77777777" w:rsidR="00BE6367" w:rsidRDefault="00C90F6A">
            <w:pPr>
              <w:jc w:val="both"/>
              <w:rPr>
                <w:rFonts w:ascii="Arial" w:eastAsia="Arial" w:hAnsi="Arial" w:cs="Arial"/>
                <w:sz w:val="20"/>
                <w:szCs w:val="20"/>
              </w:rPr>
            </w:pPr>
            <w:r>
              <w:rPr>
                <w:rFonts w:ascii="Arial" w:eastAsia="Arial" w:hAnsi="Arial" w:cs="Arial"/>
                <w:sz w:val="20"/>
                <w:szCs w:val="20"/>
              </w:rPr>
              <w:t>UNIDAD DE PRESIDENTE</w:t>
            </w:r>
          </w:p>
        </w:tc>
        <w:tc>
          <w:tcPr>
            <w:tcW w:w="77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1A328A9E" w14:textId="77777777" w:rsidR="00BE6367" w:rsidRDefault="00C90F6A">
            <w:pPr>
              <w:jc w:val="both"/>
              <w:rPr>
                <w:rFonts w:ascii="Arial" w:eastAsia="Arial" w:hAnsi="Arial" w:cs="Arial"/>
                <w:sz w:val="20"/>
                <w:szCs w:val="20"/>
              </w:rPr>
            </w:pPr>
            <w:r>
              <w:rPr>
                <w:rFonts w:ascii="Arial" w:eastAsia="Arial" w:hAnsi="Arial" w:cs="Arial"/>
                <w:sz w:val="20"/>
                <w:szCs w:val="20"/>
              </w:rPr>
              <w:t>1</w:t>
            </w:r>
          </w:p>
        </w:tc>
        <w:tc>
          <w:tcPr>
            <w:tcW w:w="1379"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1FFC8952" w14:textId="77777777" w:rsidR="00BE6367" w:rsidRDefault="00C90F6A">
            <w:pPr>
              <w:jc w:val="both"/>
              <w:rPr>
                <w:rFonts w:ascii="Arial" w:eastAsia="Arial" w:hAnsi="Arial" w:cs="Arial"/>
                <w:sz w:val="20"/>
                <w:szCs w:val="20"/>
              </w:rPr>
            </w:pPr>
            <w:r>
              <w:rPr>
                <w:rFonts w:ascii="Arial" w:eastAsia="Arial" w:hAnsi="Arial" w:cs="Arial"/>
                <w:sz w:val="20"/>
                <w:szCs w:val="20"/>
              </w:rPr>
              <w:t>$6.777.703</w:t>
            </w:r>
          </w:p>
        </w:tc>
        <w:tc>
          <w:tcPr>
            <w:tcW w:w="1712"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362CD1ED" w14:textId="77777777" w:rsidR="00BE6367" w:rsidRDefault="00C90F6A">
            <w:pPr>
              <w:jc w:val="both"/>
              <w:rPr>
                <w:rFonts w:ascii="Arial" w:eastAsia="Arial" w:hAnsi="Arial" w:cs="Arial"/>
                <w:sz w:val="20"/>
                <w:szCs w:val="20"/>
              </w:rPr>
            </w:pPr>
            <w:r>
              <w:rPr>
                <w:rFonts w:ascii="Arial" w:eastAsia="Arial" w:hAnsi="Arial" w:cs="Arial"/>
                <w:sz w:val="20"/>
                <w:szCs w:val="20"/>
              </w:rPr>
              <w:t>$6.777.703</w:t>
            </w:r>
          </w:p>
        </w:tc>
        <w:tc>
          <w:tcPr>
            <w:tcW w:w="1556"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707E4158" w14:textId="77777777" w:rsidR="00BE6367" w:rsidRDefault="00C90F6A">
            <w:pPr>
              <w:jc w:val="both"/>
              <w:rPr>
                <w:rFonts w:ascii="Arial" w:eastAsia="Arial" w:hAnsi="Arial" w:cs="Arial"/>
                <w:sz w:val="20"/>
                <w:szCs w:val="20"/>
              </w:rPr>
            </w:pPr>
            <w:r>
              <w:rPr>
                <w:rFonts w:ascii="Arial" w:eastAsia="Arial" w:hAnsi="Arial" w:cs="Arial"/>
                <w:sz w:val="20"/>
                <w:szCs w:val="20"/>
              </w:rPr>
              <w:t>0,01%</w:t>
            </w:r>
          </w:p>
        </w:tc>
      </w:tr>
      <w:tr w:rsidR="00BE6367" w14:paraId="21DBDF7F" w14:textId="77777777">
        <w:tc>
          <w:tcPr>
            <w:tcW w:w="944"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5C2BA174" w14:textId="77777777" w:rsidR="00BE6367" w:rsidRDefault="00C90F6A">
            <w:pPr>
              <w:jc w:val="both"/>
              <w:rPr>
                <w:rFonts w:ascii="Arial" w:eastAsia="Arial" w:hAnsi="Arial" w:cs="Arial"/>
                <w:sz w:val="20"/>
                <w:szCs w:val="20"/>
              </w:rPr>
            </w:pPr>
            <w:r>
              <w:rPr>
                <w:rFonts w:ascii="Arial" w:eastAsia="Arial" w:hAnsi="Arial" w:cs="Arial"/>
                <w:sz w:val="20"/>
                <w:szCs w:val="20"/>
              </w:rPr>
              <w:t>42</w:t>
            </w:r>
          </w:p>
        </w:tc>
        <w:tc>
          <w:tcPr>
            <w:tcW w:w="198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10DDD814" w14:textId="77777777" w:rsidR="00BE6367" w:rsidRDefault="00C90F6A">
            <w:pPr>
              <w:jc w:val="both"/>
              <w:rPr>
                <w:rFonts w:ascii="Arial" w:eastAsia="Arial" w:hAnsi="Arial" w:cs="Arial"/>
                <w:sz w:val="20"/>
                <w:szCs w:val="20"/>
              </w:rPr>
            </w:pPr>
            <w:r>
              <w:rPr>
                <w:rFonts w:ascii="Arial" w:eastAsia="Arial" w:hAnsi="Arial" w:cs="Arial"/>
                <w:sz w:val="20"/>
                <w:szCs w:val="20"/>
              </w:rPr>
              <w:t>UNIDAD DE DELEGADO</w:t>
            </w:r>
          </w:p>
        </w:tc>
        <w:tc>
          <w:tcPr>
            <w:tcW w:w="77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29B73130" w14:textId="77777777" w:rsidR="00BE6367" w:rsidRDefault="00C90F6A">
            <w:pPr>
              <w:jc w:val="both"/>
              <w:rPr>
                <w:rFonts w:ascii="Arial" w:eastAsia="Arial" w:hAnsi="Arial" w:cs="Arial"/>
                <w:sz w:val="20"/>
                <w:szCs w:val="20"/>
              </w:rPr>
            </w:pPr>
            <w:r>
              <w:rPr>
                <w:rFonts w:ascii="Arial" w:eastAsia="Arial" w:hAnsi="Arial" w:cs="Arial"/>
                <w:sz w:val="20"/>
                <w:szCs w:val="20"/>
              </w:rPr>
              <w:t>5</w:t>
            </w:r>
          </w:p>
        </w:tc>
        <w:tc>
          <w:tcPr>
            <w:tcW w:w="1379"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73E6C192" w14:textId="77777777" w:rsidR="00BE6367" w:rsidRDefault="00C90F6A">
            <w:pPr>
              <w:jc w:val="both"/>
              <w:rPr>
                <w:rFonts w:ascii="Arial" w:eastAsia="Arial" w:hAnsi="Arial" w:cs="Arial"/>
                <w:sz w:val="20"/>
                <w:szCs w:val="20"/>
              </w:rPr>
            </w:pPr>
            <w:r>
              <w:rPr>
                <w:rFonts w:ascii="Arial" w:eastAsia="Arial" w:hAnsi="Arial" w:cs="Arial"/>
                <w:sz w:val="20"/>
                <w:szCs w:val="20"/>
              </w:rPr>
              <w:t>$5.539.885</w:t>
            </w:r>
          </w:p>
        </w:tc>
        <w:tc>
          <w:tcPr>
            <w:tcW w:w="1712"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769CF4A6" w14:textId="77777777" w:rsidR="00BE6367" w:rsidRDefault="00C90F6A">
            <w:pPr>
              <w:jc w:val="both"/>
              <w:rPr>
                <w:rFonts w:ascii="Arial" w:eastAsia="Arial" w:hAnsi="Arial" w:cs="Arial"/>
                <w:sz w:val="20"/>
                <w:szCs w:val="20"/>
              </w:rPr>
            </w:pPr>
            <w:r>
              <w:rPr>
                <w:rFonts w:ascii="Arial" w:eastAsia="Arial" w:hAnsi="Arial" w:cs="Arial"/>
                <w:sz w:val="20"/>
                <w:szCs w:val="20"/>
              </w:rPr>
              <w:t>$27.699.425</w:t>
            </w:r>
          </w:p>
        </w:tc>
        <w:tc>
          <w:tcPr>
            <w:tcW w:w="1556"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7E6272D2" w14:textId="77777777" w:rsidR="00BE6367" w:rsidRDefault="00C90F6A">
            <w:pPr>
              <w:jc w:val="both"/>
              <w:rPr>
                <w:rFonts w:ascii="Arial" w:eastAsia="Arial" w:hAnsi="Arial" w:cs="Arial"/>
                <w:sz w:val="20"/>
                <w:szCs w:val="20"/>
              </w:rPr>
            </w:pPr>
            <w:r>
              <w:rPr>
                <w:rFonts w:ascii="Arial" w:eastAsia="Arial" w:hAnsi="Arial" w:cs="Arial"/>
                <w:sz w:val="20"/>
                <w:szCs w:val="20"/>
              </w:rPr>
              <w:t>0,05%</w:t>
            </w:r>
          </w:p>
        </w:tc>
      </w:tr>
      <w:tr w:rsidR="00BE6367" w14:paraId="2CCCAF2D" w14:textId="77777777">
        <w:tc>
          <w:tcPr>
            <w:tcW w:w="944"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0B19D2B2" w14:textId="77777777" w:rsidR="00BE6367" w:rsidRDefault="00C90F6A">
            <w:pPr>
              <w:jc w:val="both"/>
              <w:rPr>
                <w:rFonts w:ascii="Arial" w:eastAsia="Arial" w:hAnsi="Arial" w:cs="Arial"/>
                <w:sz w:val="20"/>
                <w:szCs w:val="20"/>
              </w:rPr>
            </w:pPr>
            <w:r>
              <w:rPr>
                <w:rFonts w:ascii="Arial" w:eastAsia="Arial" w:hAnsi="Arial" w:cs="Arial"/>
                <w:b/>
                <w:bCs/>
                <w:sz w:val="20"/>
                <w:szCs w:val="20"/>
              </w:rPr>
              <w:t>TOTAL</w:t>
            </w:r>
          </w:p>
        </w:tc>
        <w:tc>
          <w:tcPr>
            <w:tcW w:w="198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78B4BC0B" w14:textId="77777777" w:rsidR="00BE6367" w:rsidRDefault="00BE6367">
            <w:pPr>
              <w:jc w:val="both"/>
              <w:rPr>
                <w:rFonts w:ascii="Arial" w:eastAsia="Arial" w:hAnsi="Arial" w:cs="Arial"/>
                <w:sz w:val="20"/>
                <w:szCs w:val="20"/>
              </w:rPr>
            </w:pPr>
          </w:p>
        </w:tc>
        <w:tc>
          <w:tcPr>
            <w:tcW w:w="773"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489EF9D7" w14:textId="77777777" w:rsidR="00BE6367" w:rsidRDefault="00BE6367">
            <w:pPr>
              <w:jc w:val="both"/>
              <w:rPr>
                <w:rFonts w:ascii="Arial" w:eastAsia="Arial" w:hAnsi="Arial" w:cs="Arial"/>
                <w:sz w:val="20"/>
                <w:szCs w:val="20"/>
              </w:rPr>
            </w:pPr>
          </w:p>
        </w:tc>
        <w:tc>
          <w:tcPr>
            <w:tcW w:w="1379"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15E39316" w14:textId="77777777" w:rsidR="00BE6367" w:rsidRDefault="00BE6367">
            <w:pPr>
              <w:jc w:val="both"/>
              <w:rPr>
                <w:rFonts w:ascii="Arial" w:eastAsia="Arial" w:hAnsi="Arial" w:cs="Arial"/>
                <w:sz w:val="20"/>
                <w:szCs w:val="20"/>
              </w:rPr>
            </w:pPr>
          </w:p>
        </w:tc>
        <w:tc>
          <w:tcPr>
            <w:tcW w:w="1712"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568E6EA2" w14:textId="77777777" w:rsidR="00BE6367" w:rsidRDefault="00C90F6A">
            <w:pPr>
              <w:jc w:val="both"/>
              <w:rPr>
                <w:rFonts w:ascii="Arial" w:eastAsia="Arial" w:hAnsi="Arial" w:cs="Arial"/>
                <w:sz w:val="20"/>
                <w:szCs w:val="20"/>
              </w:rPr>
            </w:pPr>
            <w:r>
              <w:rPr>
                <w:rFonts w:ascii="Arial" w:eastAsia="Arial" w:hAnsi="Arial" w:cs="Arial"/>
                <w:b/>
                <w:bCs/>
                <w:sz w:val="20"/>
                <w:szCs w:val="20"/>
              </w:rPr>
              <w:t>$46.169.896.515</w:t>
            </w:r>
          </w:p>
        </w:tc>
        <w:tc>
          <w:tcPr>
            <w:tcW w:w="1556"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vAlign w:val="center"/>
          </w:tcPr>
          <w:p w14:paraId="31372D2C" w14:textId="77777777" w:rsidR="00BE6367" w:rsidRDefault="00C90F6A">
            <w:pPr>
              <w:jc w:val="both"/>
              <w:rPr>
                <w:rFonts w:ascii="Arial" w:eastAsia="Arial" w:hAnsi="Arial" w:cs="Arial"/>
                <w:sz w:val="20"/>
                <w:szCs w:val="20"/>
              </w:rPr>
            </w:pPr>
            <w:r>
              <w:rPr>
                <w:rFonts w:ascii="Arial" w:eastAsia="Arial" w:hAnsi="Arial" w:cs="Arial"/>
                <w:b/>
                <w:bCs/>
                <w:sz w:val="20"/>
                <w:szCs w:val="20"/>
              </w:rPr>
              <w:t>89,72%</w:t>
            </w:r>
          </w:p>
        </w:tc>
      </w:tr>
    </w:tbl>
    <w:p w14:paraId="4369220C" w14:textId="77777777" w:rsidR="00BE6367" w:rsidRDefault="00BE6367">
      <w:pPr>
        <w:spacing w:line="259" w:lineRule="auto"/>
        <w:jc w:val="both"/>
        <w:rPr>
          <w:rFonts w:ascii="Arial" w:eastAsia="Arial" w:hAnsi="Arial" w:cs="Arial"/>
          <w:sz w:val="20"/>
          <w:szCs w:val="20"/>
        </w:rPr>
      </w:pPr>
    </w:p>
    <w:p w14:paraId="334BF1E3"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038B6EE8"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 xml:space="preserve">No se acepta la observación. </w:t>
      </w:r>
    </w:p>
    <w:p w14:paraId="172A5ACE"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 xml:space="preserve">Respecto del argumento de desproporción presupuestal, la Entidad precisa que la exigencia de las certificaciones de fabricante no se definió con base en el porcentaje que cada ítem representa dentro del presupuesto total del proceso, sino en la funcionalidad e importancia que cada solución tiene dentro de la operación de la Entidad, así como en el impacto que su adecuado funcionamiento genera sobre el personal interno y los usuarios de dichos espacios. </w:t>
      </w:r>
    </w:p>
    <w:p w14:paraId="4EEA3DDE"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En ese sentido, las salas donde se requiere personal técnico capacitado y especializado en las soluciones instaladas corresponden a las salas de audiencias y de videoconferencia, dada la naturaleza crítica de su operación para el cumplimiento de las funciones misionales de la Entidad, independientemente del porcentaje presupuestal que dichos ítems representan frente al valor total de la negociación.</w:t>
      </w:r>
    </w:p>
    <w:p w14:paraId="0B544DDC"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 xml:space="preserve">Frente a la afirmación del observante según la cual los fabricantes habrían confirmado que el único proponente en capacidad de obtener las certificaciones exigidas sería una empresa determinada, la Entidad rechaza categóricamente dicha aseveración. El requisito de certificación de fabricante fue definido de manera general, objetiva e impersonal, sin hacer referencia a marca, modelo, proponente o integrador específico alguno, y se encuentra abierto </w:t>
      </w:r>
      <w:r>
        <w:rPr>
          <w:rFonts w:ascii="Arial" w:eastAsia="Arial" w:hAnsi="Arial" w:cs="Arial"/>
          <w:sz w:val="20"/>
          <w:szCs w:val="20"/>
        </w:rPr>
        <w:lastRenderedPageBreak/>
        <w:t xml:space="preserve">a cualquier interesado que gestione y obtenga, ante el fabricante correspondiente, la autorización o certificación exigida en los términos del FTN. </w:t>
      </w:r>
    </w:p>
    <w:p w14:paraId="3C3BAD17"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La Entidad no cuenta con elemento alguno que le permita confirmar la existencia de un acuerdo, práctica o instrucción de los fabricantes orientada a limitar la expedición de dichas certificaciones a un único proponente, y no puede, con fundamento en una afirmación no acreditada documentalmente por el observante, presumir la existencia de un direccionamiento del proceso.</w:t>
      </w:r>
    </w:p>
    <w:p w14:paraId="586C1FB9"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En consecuencia, se mantiene el requisito de certificación de fabricante en los términos definidos en el FTN, reiterando que dicho requisito se encuentra disponible para ser obtenido por cualquier proponente interesado que cumpla con las condiciones objetivas exigidas por cada fabricante para su expedición.</w:t>
      </w:r>
    </w:p>
    <w:p w14:paraId="4709EA47" w14:textId="77777777" w:rsidR="00BE6367" w:rsidRDefault="00BE6367">
      <w:pPr>
        <w:spacing w:line="259" w:lineRule="auto"/>
        <w:jc w:val="both"/>
        <w:rPr>
          <w:rFonts w:ascii="Arial" w:eastAsia="Arial" w:hAnsi="Arial" w:cs="Arial"/>
          <w:sz w:val="20"/>
          <w:szCs w:val="20"/>
        </w:rPr>
      </w:pPr>
    </w:p>
    <w:p w14:paraId="626D791D" w14:textId="77777777" w:rsidR="00BE6367" w:rsidRDefault="00BE6367">
      <w:pPr>
        <w:spacing w:line="259" w:lineRule="auto"/>
        <w:jc w:val="both"/>
        <w:rPr>
          <w:rFonts w:ascii="Arial" w:eastAsia="Arial" w:hAnsi="Arial" w:cs="Arial"/>
          <w:sz w:val="20"/>
          <w:szCs w:val="20"/>
        </w:rPr>
      </w:pPr>
    </w:p>
    <w:p w14:paraId="1CCC26C7" w14:textId="77777777" w:rsidR="00BE6367" w:rsidRDefault="00BE6367">
      <w:pPr>
        <w:spacing w:line="259" w:lineRule="auto"/>
        <w:jc w:val="both"/>
        <w:rPr>
          <w:rFonts w:ascii="Arial" w:eastAsia="Arial" w:hAnsi="Arial" w:cs="Arial"/>
          <w:sz w:val="20"/>
          <w:szCs w:val="20"/>
        </w:rPr>
      </w:pPr>
    </w:p>
    <w:p w14:paraId="5EF86094" w14:textId="77777777" w:rsidR="00BE6367" w:rsidRDefault="00BE6367">
      <w:pPr>
        <w:spacing w:line="259" w:lineRule="auto"/>
        <w:jc w:val="both"/>
        <w:rPr>
          <w:rFonts w:ascii="Arial" w:eastAsia="Arial" w:hAnsi="Arial" w:cs="Arial"/>
          <w:sz w:val="20"/>
          <w:szCs w:val="20"/>
        </w:rPr>
      </w:pPr>
    </w:p>
    <w:p w14:paraId="799E081F" w14:textId="77777777" w:rsidR="00BE6367" w:rsidRDefault="00BE6367">
      <w:pPr>
        <w:spacing w:line="259" w:lineRule="auto"/>
        <w:jc w:val="both"/>
        <w:rPr>
          <w:rFonts w:ascii="Arial" w:eastAsia="Arial" w:hAnsi="Arial" w:cs="Arial"/>
          <w:sz w:val="20"/>
          <w:szCs w:val="20"/>
        </w:rPr>
      </w:pPr>
    </w:p>
    <w:p w14:paraId="3EAA7EDA" w14:textId="77777777" w:rsidR="00BE6367" w:rsidRDefault="00BE6367">
      <w:pPr>
        <w:spacing w:line="259" w:lineRule="auto"/>
        <w:jc w:val="both"/>
        <w:rPr>
          <w:rFonts w:ascii="Arial" w:eastAsia="Arial" w:hAnsi="Arial" w:cs="Arial"/>
          <w:sz w:val="20"/>
          <w:szCs w:val="20"/>
        </w:rPr>
      </w:pPr>
    </w:p>
    <w:p w14:paraId="2DD1591F" w14:textId="77777777" w:rsidR="00BE6367" w:rsidRDefault="00BE6367">
      <w:pPr>
        <w:spacing w:line="259" w:lineRule="auto"/>
        <w:jc w:val="both"/>
        <w:rPr>
          <w:rFonts w:ascii="Arial" w:eastAsia="Arial" w:hAnsi="Arial" w:cs="Arial"/>
          <w:sz w:val="20"/>
          <w:szCs w:val="20"/>
        </w:rPr>
      </w:pPr>
    </w:p>
    <w:p w14:paraId="5354D1A1"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OBSERVACIÓN 2: </w:t>
      </w:r>
    </w:p>
    <w:p w14:paraId="77FADF62" w14:textId="77777777" w:rsidR="00BE6367" w:rsidRDefault="00C90F6A">
      <w:pPr>
        <w:jc w:val="both"/>
        <w:rPr>
          <w:rFonts w:ascii="Arial" w:eastAsia="Arial" w:hAnsi="Arial" w:cs="Arial"/>
          <w:sz w:val="20"/>
          <w:szCs w:val="20"/>
        </w:rPr>
      </w:pPr>
      <w:r>
        <w:rPr>
          <w:rFonts w:ascii="Arial" w:eastAsia="Arial" w:hAnsi="Arial" w:cs="Arial"/>
          <w:b/>
          <w:bCs/>
          <w:sz w:val="20"/>
          <w:szCs w:val="20"/>
        </w:rPr>
        <w:t>EVIDENCIA DE DIRECCIONAMIENTO TÉCNICO HACIA FABRICANTES ESPECÍFICOS</w:t>
      </w:r>
      <w:r>
        <w:rPr>
          <w:rFonts w:ascii="Arial" w:eastAsia="Arial" w:hAnsi="Arial" w:cs="Arial"/>
          <w:sz w:val="20"/>
          <w:szCs w:val="20"/>
        </w:rPr>
        <w:t xml:space="preserve"> </w:t>
      </w:r>
    </w:p>
    <w:p w14:paraId="6E58A0E5" w14:textId="77777777" w:rsidR="00BE6367" w:rsidRDefault="00BE6367">
      <w:pPr>
        <w:jc w:val="both"/>
        <w:rPr>
          <w:rFonts w:ascii="Arial" w:eastAsia="Arial" w:hAnsi="Arial" w:cs="Arial"/>
          <w:sz w:val="20"/>
          <w:szCs w:val="20"/>
        </w:rPr>
      </w:pPr>
    </w:p>
    <w:p w14:paraId="5921596A" w14:textId="77777777" w:rsidR="00BE6367" w:rsidRDefault="00C90F6A">
      <w:pPr>
        <w:jc w:val="both"/>
        <w:rPr>
          <w:rFonts w:ascii="Arial" w:eastAsia="Arial" w:hAnsi="Arial" w:cs="Arial"/>
          <w:sz w:val="20"/>
          <w:szCs w:val="20"/>
        </w:rPr>
      </w:pPr>
      <w:r>
        <w:rPr>
          <w:rFonts w:ascii="Arial" w:eastAsia="Arial" w:hAnsi="Arial" w:cs="Arial"/>
          <w:sz w:val="20"/>
          <w:szCs w:val="20"/>
        </w:rPr>
        <w:t>Como se ha expuesto en las observaciones técnicas anteriores, no solo las especificaciones están redactadas para calzar con equipos específicos, sino que, en todos y cada uno de los ítems mencionados, los fabricantes han confirmado que cualquier carta de autorización o certificación de fabricante será emitida exclusivamente a favor del oferente Matizzo. Esta práctica genera un bloqueo absoluto a cualquier otro proponente, ya que el direccionamiento no es solo técnico (características del producto), sino administrativo (acceso restringido a las certificaciones), consolidando un escenario de proponente único.</w:t>
      </w:r>
    </w:p>
    <w:p w14:paraId="6F702AD2" w14:textId="77777777" w:rsidR="00BE6367" w:rsidRDefault="00BE6367">
      <w:pPr>
        <w:jc w:val="both"/>
        <w:rPr>
          <w:rFonts w:ascii="Arial" w:eastAsia="Arial" w:hAnsi="Arial" w:cs="Arial"/>
          <w:sz w:val="20"/>
          <w:szCs w:val="20"/>
        </w:rPr>
      </w:pPr>
    </w:p>
    <w:tbl>
      <w:tblPr>
        <w:tblStyle w:val="a2"/>
        <w:tblW w:w="83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9"/>
        <w:gridCol w:w="1365"/>
        <w:gridCol w:w="4505"/>
        <w:gridCol w:w="1794"/>
      </w:tblGrid>
      <w:tr w:rsidR="00BE6367" w14:paraId="66C0DCFE" w14:textId="77777777">
        <w:trPr>
          <w:tblHeader/>
        </w:trPr>
        <w:tc>
          <w:tcPr>
            <w:tcW w:w="689" w:type="dxa"/>
            <w:vAlign w:val="center"/>
          </w:tcPr>
          <w:p w14:paraId="3D27A909"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Ítem #</w:t>
            </w:r>
          </w:p>
        </w:tc>
        <w:tc>
          <w:tcPr>
            <w:tcW w:w="1365" w:type="dxa"/>
            <w:vAlign w:val="center"/>
          </w:tcPr>
          <w:p w14:paraId="358C83BB"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Fabricante Probable</w:t>
            </w:r>
          </w:p>
        </w:tc>
        <w:tc>
          <w:tcPr>
            <w:tcW w:w="4505" w:type="dxa"/>
            <w:vAlign w:val="center"/>
          </w:tcPr>
          <w:p w14:paraId="6AA65F05"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Tecnología/Característica de Cierre (Explicación breve)</w:t>
            </w:r>
          </w:p>
        </w:tc>
        <w:tc>
          <w:tcPr>
            <w:tcW w:w="1794" w:type="dxa"/>
            <w:vAlign w:val="center"/>
          </w:tcPr>
          <w:p w14:paraId="0B98249A"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Fuente de Verificación / Referencia Técnica</w:t>
            </w:r>
          </w:p>
        </w:tc>
      </w:tr>
      <w:tr w:rsidR="00BE6367" w14:paraId="1ED5E507" w14:textId="77777777">
        <w:tc>
          <w:tcPr>
            <w:tcW w:w="689" w:type="dxa"/>
            <w:vAlign w:val="center"/>
          </w:tcPr>
          <w:p w14:paraId="0FEAED32"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33</w:t>
            </w:r>
          </w:p>
        </w:tc>
        <w:tc>
          <w:tcPr>
            <w:tcW w:w="1365" w:type="dxa"/>
            <w:vAlign w:val="center"/>
          </w:tcPr>
          <w:p w14:paraId="429A4060"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Crestron</w:t>
            </w:r>
          </w:p>
        </w:tc>
        <w:tc>
          <w:tcPr>
            <w:tcW w:w="4505" w:type="dxa"/>
            <w:vAlign w:val="center"/>
          </w:tcPr>
          <w:p w14:paraId="32A478F8"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Patente Comercial:</w:t>
            </w:r>
            <w:r>
              <w:rPr>
                <w:rFonts w:ascii="Arial" w:eastAsia="Arial" w:hAnsi="Arial" w:cs="Arial"/>
                <w:sz w:val="20"/>
                <w:szCs w:val="20"/>
              </w:rPr>
              <w:t xml:space="preserve"> Exige la tecnología "</w:t>
            </w:r>
            <w:r>
              <w:rPr>
                <w:rFonts w:ascii="Arial" w:eastAsia="Arial" w:hAnsi="Arial" w:cs="Arial"/>
                <w:i/>
                <w:iCs/>
                <w:sz w:val="20"/>
                <w:szCs w:val="20"/>
              </w:rPr>
              <w:t>Pixel Perfect Processing</w:t>
            </w:r>
            <w:r>
              <w:rPr>
                <w:rFonts w:ascii="Arial" w:eastAsia="Arial" w:hAnsi="Arial" w:cs="Arial"/>
                <w:sz w:val="20"/>
                <w:szCs w:val="20"/>
              </w:rPr>
              <w:t>" (marca registrada de Crestron para la línea DM NVX) y compatibilidad obligatoria con "</w:t>
            </w:r>
            <w:r>
              <w:rPr>
                <w:rFonts w:ascii="Arial" w:eastAsia="Arial" w:hAnsi="Arial" w:cs="Arial"/>
                <w:i/>
                <w:iCs/>
                <w:sz w:val="20"/>
                <w:szCs w:val="20"/>
              </w:rPr>
              <w:t>appliances de conmutación virtual Director propios del fabricante</w:t>
            </w:r>
            <w:r>
              <w:rPr>
                <w:rFonts w:ascii="Arial" w:eastAsia="Arial" w:hAnsi="Arial" w:cs="Arial"/>
                <w:sz w:val="20"/>
                <w:szCs w:val="20"/>
              </w:rPr>
              <w:t>" (Crestron DM NVX Director).</w:t>
            </w:r>
          </w:p>
        </w:tc>
        <w:tc>
          <w:tcPr>
            <w:tcW w:w="1794" w:type="dxa"/>
            <w:vAlign w:val="center"/>
          </w:tcPr>
          <w:p w14:paraId="6AC1909E" w14:textId="77777777" w:rsidR="00BE6367" w:rsidRDefault="00BE6367">
            <w:pPr>
              <w:spacing w:line="259" w:lineRule="auto"/>
              <w:jc w:val="both"/>
              <w:rPr>
                <w:rFonts w:ascii="Arial" w:eastAsia="Arial" w:hAnsi="Arial" w:cs="Arial"/>
                <w:sz w:val="20"/>
                <w:szCs w:val="20"/>
              </w:rPr>
            </w:pPr>
            <w:hyperlink r:id="rId8">
              <w:r>
                <w:rPr>
                  <w:rFonts w:ascii="Arial" w:eastAsia="Arial" w:hAnsi="Arial" w:cs="Arial"/>
                  <w:color w:val="467886"/>
                  <w:sz w:val="20"/>
                  <w:szCs w:val="20"/>
                  <w:u w:val="single"/>
                </w:rPr>
                <w:t>Crestron DM-NVX-363 / 384</w:t>
              </w:r>
            </w:hyperlink>
          </w:p>
        </w:tc>
      </w:tr>
      <w:tr w:rsidR="00BE6367" w14:paraId="455B1B43" w14:textId="77777777">
        <w:tc>
          <w:tcPr>
            <w:tcW w:w="689" w:type="dxa"/>
            <w:vAlign w:val="center"/>
          </w:tcPr>
          <w:p w14:paraId="0EBFF90A"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34</w:t>
            </w:r>
          </w:p>
        </w:tc>
        <w:tc>
          <w:tcPr>
            <w:tcW w:w="1365" w:type="dxa"/>
            <w:vAlign w:val="center"/>
          </w:tcPr>
          <w:p w14:paraId="75C1B0A6"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Crestron (1 Beyond)</w:t>
            </w:r>
          </w:p>
        </w:tc>
        <w:tc>
          <w:tcPr>
            <w:tcW w:w="4505" w:type="dxa"/>
            <w:vAlign w:val="center"/>
          </w:tcPr>
          <w:p w14:paraId="22A2BD1A"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Ecosistema cerrado:</w:t>
            </w:r>
            <w:r>
              <w:rPr>
                <w:rFonts w:ascii="Arial" w:eastAsia="Arial" w:hAnsi="Arial" w:cs="Arial"/>
                <w:sz w:val="20"/>
                <w:szCs w:val="20"/>
              </w:rPr>
              <w:t xml:space="preserve"> Pide seguimiento grupal e individual mediante IA integrada en la cámara y </w:t>
            </w:r>
            <w:r>
              <w:rPr>
                <w:rFonts w:ascii="Arial" w:eastAsia="Arial" w:hAnsi="Arial" w:cs="Arial"/>
                <w:sz w:val="20"/>
                <w:szCs w:val="20"/>
              </w:rPr>
              <w:lastRenderedPageBreak/>
              <w:t xml:space="preserve">un </w:t>
            </w:r>
            <w:r>
              <w:rPr>
                <w:rFonts w:ascii="Arial" w:eastAsia="Arial" w:hAnsi="Arial" w:cs="Arial"/>
                <w:i/>
                <w:iCs/>
                <w:sz w:val="20"/>
                <w:szCs w:val="20"/>
              </w:rPr>
              <w:t>Field of View</w:t>
            </w:r>
            <w:r>
              <w:rPr>
                <w:rFonts w:ascii="Arial" w:eastAsia="Arial" w:hAnsi="Arial" w:cs="Arial"/>
                <w:sz w:val="20"/>
                <w:szCs w:val="20"/>
              </w:rPr>
              <w:t xml:space="preserve"> exacto de "56.45°", atado al software de conmutación multicámara del ítem 35.</w:t>
            </w:r>
          </w:p>
        </w:tc>
        <w:tc>
          <w:tcPr>
            <w:tcW w:w="1794" w:type="dxa"/>
            <w:vAlign w:val="center"/>
          </w:tcPr>
          <w:p w14:paraId="583D5E65" w14:textId="77777777" w:rsidR="00BE6367" w:rsidRDefault="00BE6367">
            <w:pPr>
              <w:spacing w:line="259" w:lineRule="auto"/>
              <w:jc w:val="both"/>
              <w:rPr>
                <w:rFonts w:ascii="Arial" w:eastAsia="Arial" w:hAnsi="Arial" w:cs="Arial"/>
                <w:sz w:val="20"/>
                <w:szCs w:val="20"/>
              </w:rPr>
            </w:pPr>
            <w:hyperlink r:id="rId9">
              <w:r>
                <w:rPr>
                  <w:rFonts w:ascii="Arial" w:eastAsia="Arial" w:hAnsi="Arial" w:cs="Arial"/>
                  <w:color w:val="467886"/>
                  <w:sz w:val="20"/>
                  <w:szCs w:val="20"/>
                  <w:u w:val="single"/>
                </w:rPr>
                <w:t>Crestron 1 Beyond i12 PTZ</w:t>
              </w:r>
            </w:hyperlink>
          </w:p>
        </w:tc>
      </w:tr>
      <w:tr w:rsidR="00BE6367" w14:paraId="11C77324" w14:textId="77777777">
        <w:tc>
          <w:tcPr>
            <w:tcW w:w="689" w:type="dxa"/>
            <w:vAlign w:val="center"/>
          </w:tcPr>
          <w:p w14:paraId="5331B99F"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35</w:t>
            </w:r>
          </w:p>
        </w:tc>
        <w:tc>
          <w:tcPr>
            <w:tcW w:w="1365" w:type="dxa"/>
            <w:vAlign w:val="center"/>
          </w:tcPr>
          <w:p w14:paraId="35AAF243"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Crestron (1 Beyond)</w:t>
            </w:r>
          </w:p>
        </w:tc>
        <w:tc>
          <w:tcPr>
            <w:tcW w:w="4505" w:type="dxa"/>
            <w:vAlign w:val="center"/>
          </w:tcPr>
          <w:p w14:paraId="7A1CC496"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Cierre de I/O y Almacenamiento:</w:t>
            </w:r>
            <w:r>
              <w:rPr>
                <w:rFonts w:ascii="Arial" w:eastAsia="Arial" w:hAnsi="Arial" w:cs="Arial"/>
                <w:sz w:val="20"/>
                <w:szCs w:val="20"/>
              </w:rPr>
              <w:t xml:space="preserve"> Exige exactamente capacidad para "siete (7) fuentes 3G-SDI o doce (12) NDI HX", grabación "ISO en formato MOV" y un disco interno atípico de "SSD mínimo de 316 GB".</w:t>
            </w:r>
          </w:p>
        </w:tc>
        <w:tc>
          <w:tcPr>
            <w:tcW w:w="1794" w:type="dxa"/>
            <w:vAlign w:val="center"/>
          </w:tcPr>
          <w:p w14:paraId="3CAE9CF0" w14:textId="77777777" w:rsidR="00BE6367" w:rsidRDefault="00BE6367">
            <w:pPr>
              <w:spacing w:line="259" w:lineRule="auto"/>
              <w:jc w:val="both"/>
              <w:rPr>
                <w:rFonts w:ascii="Arial" w:eastAsia="Arial" w:hAnsi="Arial" w:cs="Arial"/>
                <w:sz w:val="20"/>
                <w:szCs w:val="20"/>
              </w:rPr>
            </w:pPr>
            <w:hyperlink r:id="rId10">
              <w:r>
                <w:rPr>
                  <w:rFonts w:ascii="Arial" w:eastAsia="Arial" w:hAnsi="Arial" w:cs="Arial"/>
                  <w:color w:val="467886"/>
                  <w:sz w:val="20"/>
                  <w:szCs w:val="20"/>
                  <w:u w:val="single"/>
                </w:rPr>
                <w:t>Crestron Automate VX</w:t>
              </w:r>
            </w:hyperlink>
          </w:p>
        </w:tc>
      </w:tr>
      <w:tr w:rsidR="00BE6367" w14:paraId="3FE358D6" w14:textId="77777777">
        <w:tc>
          <w:tcPr>
            <w:tcW w:w="689" w:type="dxa"/>
            <w:vAlign w:val="center"/>
          </w:tcPr>
          <w:p w14:paraId="2B98D84A"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36</w:t>
            </w:r>
          </w:p>
        </w:tc>
        <w:tc>
          <w:tcPr>
            <w:tcW w:w="1365" w:type="dxa"/>
            <w:vAlign w:val="center"/>
          </w:tcPr>
          <w:p w14:paraId="21AE48CE"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Crestron</w:t>
            </w:r>
          </w:p>
        </w:tc>
        <w:tc>
          <w:tcPr>
            <w:tcW w:w="4505" w:type="dxa"/>
            <w:vAlign w:val="center"/>
          </w:tcPr>
          <w:p w14:paraId="362BC9F9"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Cierre Arquitectónico:</w:t>
            </w:r>
            <w:r>
              <w:rPr>
                <w:rFonts w:ascii="Arial" w:eastAsia="Arial" w:hAnsi="Arial" w:cs="Arial"/>
                <w:sz w:val="20"/>
                <w:szCs w:val="20"/>
              </w:rPr>
              <w:t xml:space="preserve"> Pide un ensamblaje de "Soporte UC" y un "Transmisor de presentación UC" que envíe señales HDMI/DisplayPort vía USB-C y devuelva video HDMI sobre CAT5. La integración nativa solicitada es exclusiva de la familia Flex.</w:t>
            </w:r>
          </w:p>
        </w:tc>
        <w:tc>
          <w:tcPr>
            <w:tcW w:w="1794" w:type="dxa"/>
            <w:vAlign w:val="center"/>
          </w:tcPr>
          <w:p w14:paraId="48F025B4" w14:textId="77777777" w:rsidR="00BE6367" w:rsidRDefault="00BE6367">
            <w:pPr>
              <w:spacing w:line="259" w:lineRule="auto"/>
              <w:jc w:val="both"/>
              <w:rPr>
                <w:rFonts w:ascii="Arial" w:eastAsia="Arial" w:hAnsi="Arial" w:cs="Arial"/>
                <w:sz w:val="20"/>
                <w:szCs w:val="20"/>
              </w:rPr>
            </w:pPr>
            <w:hyperlink r:id="rId11">
              <w:r>
                <w:rPr>
                  <w:rFonts w:ascii="Arial" w:eastAsia="Arial" w:hAnsi="Arial" w:cs="Arial"/>
                  <w:color w:val="467886"/>
                  <w:sz w:val="20"/>
                  <w:szCs w:val="20"/>
                  <w:u w:val="single"/>
                </w:rPr>
                <w:t>Crestron Flex UC-C100-T</w:t>
              </w:r>
            </w:hyperlink>
          </w:p>
        </w:tc>
      </w:tr>
      <w:tr w:rsidR="00BE6367" w14:paraId="09D152E7" w14:textId="77777777">
        <w:tc>
          <w:tcPr>
            <w:tcW w:w="689" w:type="dxa"/>
            <w:vAlign w:val="center"/>
          </w:tcPr>
          <w:p w14:paraId="0FD3D98B"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37</w:t>
            </w:r>
          </w:p>
        </w:tc>
        <w:tc>
          <w:tcPr>
            <w:tcW w:w="1365" w:type="dxa"/>
            <w:vAlign w:val="center"/>
          </w:tcPr>
          <w:p w14:paraId="4D4D6E21"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Jabra</w:t>
            </w:r>
          </w:p>
        </w:tc>
        <w:tc>
          <w:tcPr>
            <w:tcW w:w="4505" w:type="dxa"/>
            <w:vAlign w:val="center"/>
          </w:tcPr>
          <w:p w14:paraId="2E86D084"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Cierre por Dimensiones/Conectores:</w:t>
            </w:r>
            <w:r>
              <w:rPr>
                <w:rFonts w:ascii="Arial" w:eastAsia="Arial" w:hAnsi="Arial" w:cs="Arial"/>
                <w:sz w:val="20"/>
                <w:szCs w:val="20"/>
              </w:rPr>
              <w:t xml:space="preserve"> Exige dimensiones exactas de "136 mm x 55 mm", un peso máximo de "623 g", y un inusual "cable Cat6 con adaptador RJ45 a USB-C" para un altavoz. Copiado literal del datasheet.</w:t>
            </w:r>
          </w:p>
        </w:tc>
        <w:tc>
          <w:tcPr>
            <w:tcW w:w="1794" w:type="dxa"/>
            <w:vAlign w:val="center"/>
          </w:tcPr>
          <w:p w14:paraId="04FA1A58" w14:textId="77777777" w:rsidR="00BE6367" w:rsidRDefault="00BE6367">
            <w:pPr>
              <w:spacing w:line="259" w:lineRule="auto"/>
              <w:jc w:val="both"/>
              <w:rPr>
                <w:rFonts w:ascii="Arial" w:eastAsia="Arial" w:hAnsi="Arial" w:cs="Arial"/>
                <w:sz w:val="20"/>
                <w:szCs w:val="20"/>
              </w:rPr>
            </w:pPr>
            <w:hyperlink r:id="rId12">
              <w:r>
                <w:rPr>
                  <w:rFonts w:ascii="Arial" w:eastAsia="Arial" w:hAnsi="Arial" w:cs="Arial"/>
                  <w:color w:val="467886"/>
                  <w:sz w:val="20"/>
                  <w:szCs w:val="20"/>
                  <w:u w:val="single"/>
                </w:rPr>
                <w:t>Jabra PanaCast SpeakerMic</w:t>
              </w:r>
            </w:hyperlink>
          </w:p>
        </w:tc>
      </w:tr>
      <w:tr w:rsidR="00BE6367" w14:paraId="16D4A478" w14:textId="77777777">
        <w:tc>
          <w:tcPr>
            <w:tcW w:w="689" w:type="dxa"/>
            <w:vAlign w:val="center"/>
          </w:tcPr>
          <w:p w14:paraId="3E660C7C"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38</w:t>
            </w:r>
          </w:p>
        </w:tc>
        <w:tc>
          <w:tcPr>
            <w:tcW w:w="1365" w:type="dxa"/>
            <w:vAlign w:val="center"/>
          </w:tcPr>
          <w:p w14:paraId="6BF9BD19"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Jabra</w:t>
            </w:r>
          </w:p>
        </w:tc>
        <w:tc>
          <w:tcPr>
            <w:tcW w:w="4505" w:type="dxa"/>
            <w:vAlign w:val="center"/>
          </w:tcPr>
          <w:p w14:paraId="66D84FEE"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Cierre por Peso y Lente:</w:t>
            </w:r>
            <w:r>
              <w:rPr>
                <w:rFonts w:ascii="Arial" w:eastAsia="Arial" w:hAnsi="Arial" w:cs="Arial"/>
                <w:sz w:val="20"/>
                <w:szCs w:val="20"/>
              </w:rPr>
              <w:t xml:space="preserve"> Solicita un peso no superior a "2259 g", un arreglo de 8 micrófonos y un FOV poco estándar de "160° horizontal y 54° vertical" con resolución panorámica </w:t>
            </w:r>
            <m:oMath>
              <m:r>
                <w:rPr>
                  <w:rFonts w:ascii="Cambria Math" w:eastAsia="Arial" w:hAnsi="Cambria Math" w:cs="Arial"/>
                  <w:sz w:val="20"/>
                  <w:szCs w:val="20"/>
                </w:rPr>
                <m:t>3840Г-1080</m:t>
              </m:r>
            </m:oMath>
            <w:r>
              <w:rPr>
                <w:rFonts w:ascii="Arial" w:eastAsia="Arial" w:hAnsi="Arial" w:cs="Arial"/>
                <w:sz w:val="20"/>
                <w:szCs w:val="20"/>
              </w:rPr>
              <w:t>.</w:t>
            </w:r>
          </w:p>
        </w:tc>
        <w:tc>
          <w:tcPr>
            <w:tcW w:w="1794" w:type="dxa"/>
            <w:vAlign w:val="center"/>
          </w:tcPr>
          <w:p w14:paraId="137F5460" w14:textId="77777777" w:rsidR="00BE6367" w:rsidRDefault="00BE6367">
            <w:pPr>
              <w:spacing w:line="259" w:lineRule="auto"/>
              <w:jc w:val="both"/>
              <w:rPr>
                <w:rFonts w:ascii="Arial" w:eastAsia="Arial" w:hAnsi="Arial" w:cs="Arial"/>
                <w:sz w:val="20"/>
                <w:szCs w:val="20"/>
              </w:rPr>
            </w:pPr>
            <w:hyperlink r:id="rId13">
              <w:r>
                <w:rPr>
                  <w:rFonts w:ascii="Arial" w:eastAsia="Arial" w:hAnsi="Arial" w:cs="Arial"/>
                  <w:color w:val="467886"/>
                  <w:sz w:val="20"/>
                  <w:szCs w:val="20"/>
                  <w:u w:val="single"/>
                </w:rPr>
                <w:t>Jabra PanaCast 50 / 55 VBS</w:t>
              </w:r>
            </w:hyperlink>
          </w:p>
        </w:tc>
      </w:tr>
      <w:tr w:rsidR="00BE6367" w14:paraId="12A23AB3" w14:textId="77777777">
        <w:tc>
          <w:tcPr>
            <w:tcW w:w="689" w:type="dxa"/>
            <w:vAlign w:val="center"/>
          </w:tcPr>
          <w:p w14:paraId="76B64EE8"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39</w:t>
            </w:r>
          </w:p>
        </w:tc>
        <w:tc>
          <w:tcPr>
            <w:tcW w:w="1365" w:type="dxa"/>
            <w:vAlign w:val="center"/>
          </w:tcPr>
          <w:p w14:paraId="4AFE06C7"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Televic</w:t>
            </w:r>
          </w:p>
        </w:tc>
        <w:tc>
          <w:tcPr>
            <w:tcW w:w="4505" w:type="dxa"/>
            <w:vAlign w:val="center"/>
          </w:tcPr>
          <w:p w14:paraId="0E56DABC"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Cierre por Almacenamiento y Protocolo:</w:t>
            </w:r>
            <w:r>
              <w:rPr>
                <w:rFonts w:ascii="Arial" w:eastAsia="Arial" w:hAnsi="Arial" w:cs="Arial"/>
                <w:sz w:val="20"/>
                <w:szCs w:val="20"/>
              </w:rPr>
              <w:t xml:space="preserve"> Pide memoria interna exacta de "8 GB en formato MP3", soporte de "11 idiomas de interpretación" y alimentación redundante 48 VDC/2A en topología de bucle.</w:t>
            </w:r>
          </w:p>
        </w:tc>
        <w:tc>
          <w:tcPr>
            <w:tcW w:w="1794" w:type="dxa"/>
            <w:vAlign w:val="center"/>
          </w:tcPr>
          <w:p w14:paraId="35121AFD" w14:textId="77777777" w:rsidR="00BE6367" w:rsidRDefault="00BE6367">
            <w:pPr>
              <w:spacing w:line="259" w:lineRule="auto"/>
              <w:jc w:val="both"/>
              <w:rPr>
                <w:rFonts w:ascii="Arial" w:eastAsia="Arial" w:hAnsi="Arial" w:cs="Arial"/>
                <w:sz w:val="20"/>
                <w:szCs w:val="20"/>
              </w:rPr>
            </w:pPr>
            <w:hyperlink r:id="rId14">
              <w:r>
                <w:rPr>
                  <w:rFonts w:ascii="Arial" w:eastAsia="Arial" w:hAnsi="Arial" w:cs="Arial"/>
                  <w:color w:val="467886"/>
                  <w:sz w:val="20"/>
                  <w:szCs w:val="20"/>
                  <w:u w:val="single"/>
                </w:rPr>
                <w:t>Televic Plixus AE-R</w:t>
              </w:r>
            </w:hyperlink>
          </w:p>
        </w:tc>
      </w:tr>
      <w:tr w:rsidR="00BE6367" w14:paraId="1E246CF9" w14:textId="77777777">
        <w:tc>
          <w:tcPr>
            <w:tcW w:w="689" w:type="dxa"/>
            <w:vAlign w:val="center"/>
          </w:tcPr>
          <w:p w14:paraId="74B28FE2"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40</w:t>
            </w:r>
          </w:p>
        </w:tc>
        <w:tc>
          <w:tcPr>
            <w:tcW w:w="1365" w:type="dxa"/>
            <w:vAlign w:val="center"/>
          </w:tcPr>
          <w:p w14:paraId="0146CD69"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Televic</w:t>
            </w:r>
          </w:p>
        </w:tc>
        <w:tc>
          <w:tcPr>
            <w:tcW w:w="4505" w:type="dxa"/>
            <w:vAlign w:val="center"/>
          </w:tcPr>
          <w:p w14:paraId="1442F5D0"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Cierre Físico:</w:t>
            </w:r>
            <w:r>
              <w:rPr>
                <w:rFonts w:ascii="Arial" w:eastAsia="Arial" w:hAnsi="Arial" w:cs="Arial"/>
                <w:sz w:val="20"/>
                <w:szCs w:val="20"/>
              </w:rPr>
              <w:t xml:space="preserve"> Micrófono de cuello de cisne con dimensiones exactas ("522 mm de largo x 25 mm x 25 mm"), doble sección flexible y peso no superior a "129 g".</w:t>
            </w:r>
          </w:p>
        </w:tc>
        <w:tc>
          <w:tcPr>
            <w:tcW w:w="1794" w:type="dxa"/>
            <w:vAlign w:val="center"/>
          </w:tcPr>
          <w:p w14:paraId="67DCD6AC" w14:textId="77777777" w:rsidR="00BE6367" w:rsidRDefault="00BE6367">
            <w:pPr>
              <w:spacing w:line="259" w:lineRule="auto"/>
              <w:jc w:val="both"/>
              <w:rPr>
                <w:rFonts w:ascii="Arial" w:eastAsia="Arial" w:hAnsi="Arial" w:cs="Arial"/>
                <w:sz w:val="20"/>
                <w:szCs w:val="20"/>
              </w:rPr>
            </w:pPr>
            <w:hyperlink r:id="rId15">
              <w:r>
                <w:rPr>
                  <w:rFonts w:ascii="Arial" w:eastAsia="Arial" w:hAnsi="Arial" w:cs="Arial"/>
                  <w:color w:val="467886"/>
                  <w:sz w:val="20"/>
                  <w:szCs w:val="20"/>
                  <w:u w:val="single"/>
                </w:rPr>
                <w:t>Televic D-MIC50 SL</w:t>
              </w:r>
            </w:hyperlink>
          </w:p>
        </w:tc>
      </w:tr>
      <w:tr w:rsidR="00BE6367" w:rsidRPr="00201EDC" w14:paraId="656529C7" w14:textId="77777777">
        <w:tc>
          <w:tcPr>
            <w:tcW w:w="689" w:type="dxa"/>
            <w:vAlign w:val="center"/>
          </w:tcPr>
          <w:p w14:paraId="76755E93"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41</w:t>
            </w:r>
          </w:p>
        </w:tc>
        <w:tc>
          <w:tcPr>
            <w:tcW w:w="1365" w:type="dxa"/>
            <w:vAlign w:val="center"/>
          </w:tcPr>
          <w:p w14:paraId="0FBA309B"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Televic</w:t>
            </w:r>
          </w:p>
        </w:tc>
        <w:tc>
          <w:tcPr>
            <w:tcW w:w="4505" w:type="dxa"/>
            <w:vAlign w:val="center"/>
          </w:tcPr>
          <w:p w14:paraId="74E75FE1"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Cierre Físico:</w:t>
            </w:r>
            <w:r>
              <w:rPr>
                <w:rFonts w:ascii="Arial" w:eastAsia="Arial" w:hAnsi="Arial" w:cs="Arial"/>
                <w:sz w:val="20"/>
                <w:szCs w:val="20"/>
              </w:rPr>
              <w:t xml:space="preserve"> Unidad de presidente en carcasa de acero con dimensiones tope muy estrictas ("180 mm ancho x 80 mm alto x 70 mm prof") y peso máximo de "640 g".</w:t>
            </w:r>
          </w:p>
        </w:tc>
        <w:tc>
          <w:tcPr>
            <w:tcW w:w="1794" w:type="dxa"/>
            <w:vAlign w:val="center"/>
          </w:tcPr>
          <w:p w14:paraId="6B563611" w14:textId="77777777" w:rsidR="00BE6367" w:rsidRPr="00201EDC" w:rsidRDefault="00BE6367">
            <w:pPr>
              <w:spacing w:line="259" w:lineRule="auto"/>
              <w:jc w:val="both"/>
              <w:rPr>
                <w:rFonts w:ascii="Arial" w:eastAsia="Arial" w:hAnsi="Arial" w:cs="Arial"/>
                <w:sz w:val="20"/>
                <w:szCs w:val="20"/>
                <w:lang w:val="en-US"/>
              </w:rPr>
            </w:pPr>
            <w:hyperlink r:id="rId16">
              <w:r w:rsidRPr="00201EDC">
                <w:rPr>
                  <w:rFonts w:ascii="Arial" w:eastAsia="Arial" w:hAnsi="Arial" w:cs="Arial"/>
                  <w:color w:val="467886"/>
                  <w:sz w:val="20"/>
                  <w:szCs w:val="20"/>
                  <w:u w:val="single"/>
                  <w:lang w:val="en-US"/>
                </w:rPr>
                <w:t>Televic Confidea F-CP / F-CI</w:t>
              </w:r>
            </w:hyperlink>
          </w:p>
        </w:tc>
      </w:tr>
      <w:tr w:rsidR="00BE6367" w:rsidRPr="00201EDC" w14:paraId="160D00B5" w14:textId="77777777">
        <w:tc>
          <w:tcPr>
            <w:tcW w:w="689" w:type="dxa"/>
            <w:vAlign w:val="center"/>
          </w:tcPr>
          <w:p w14:paraId="75009E04"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42</w:t>
            </w:r>
          </w:p>
        </w:tc>
        <w:tc>
          <w:tcPr>
            <w:tcW w:w="1365" w:type="dxa"/>
            <w:vAlign w:val="center"/>
          </w:tcPr>
          <w:p w14:paraId="33BB00C8"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Televic</w:t>
            </w:r>
          </w:p>
        </w:tc>
        <w:tc>
          <w:tcPr>
            <w:tcW w:w="4505" w:type="dxa"/>
            <w:vAlign w:val="center"/>
          </w:tcPr>
          <w:p w14:paraId="2819BFEA"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Cierre Físico:</w:t>
            </w:r>
            <w:r>
              <w:rPr>
                <w:rFonts w:ascii="Arial" w:eastAsia="Arial" w:hAnsi="Arial" w:cs="Arial"/>
                <w:sz w:val="20"/>
                <w:szCs w:val="20"/>
              </w:rPr>
              <w:t xml:space="preserve"> Unidad de delegado con idénticas dimensiones y pesos exactos exigidos en el ítem 41, compartiendo el ecosistema de bucle RJ45 de la unidad central.</w:t>
            </w:r>
          </w:p>
        </w:tc>
        <w:tc>
          <w:tcPr>
            <w:tcW w:w="1794" w:type="dxa"/>
            <w:vAlign w:val="center"/>
          </w:tcPr>
          <w:p w14:paraId="7EE443E1" w14:textId="77777777" w:rsidR="00BE6367" w:rsidRPr="00201EDC" w:rsidRDefault="00BE6367">
            <w:pPr>
              <w:spacing w:line="259" w:lineRule="auto"/>
              <w:jc w:val="both"/>
              <w:rPr>
                <w:rFonts w:ascii="Arial" w:eastAsia="Arial" w:hAnsi="Arial" w:cs="Arial"/>
                <w:sz w:val="20"/>
                <w:szCs w:val="20"/>
                <w:lang w:val="en-US"/>
              </w:rPr>
            </w:pPr>
            <w:hyperlink r:id="rId17">
              <w:r w:rsidRPr="00201EDC">
                <w:rPr>
                  <w:rFonts w:ascii="Arial" w:eastAsia="Arial" w:hAnsi="Arial" w:cs="Arial"/>
                  <w:color w:val="467886"/>
                  <w:sz w:val="20"/>
                  <w:szCs w:val="20"/>
                  <w:u w:val="single"/>
                  <w:lang w:val="en-US"/>
                </w:rPr>
                <w:t>Televic Confidea F-DD / F-DI</w:t>
              </w:r>
            </w:hyperlink>
          </w:p>
        </w:tc>
      </w:tr>
      <w:tr w:rsidR="00BE6367" w:rsidRPr="00201EDC" w14:paraId="01F4F544" w14:textId="77777777">
        <w:tc>
          <w:tcPr>
            <w:tcW w:w="689" w:type="dxa"/>
            <w:vAlign w:val="center"/>
          </w:tcPr>
          <w:p w14:paraId="0BE0DDDF"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44</w:t>
            </w:r>
          </w:p>
        </w:tc>
        <w:tc>
          <w:tcPr>
            <w:tcW w:w="1365" w:type="dxa"/>
            <w:vAlign w:val="center"/>
          </w:tcPr>
          <w:p w14:paraId="4CAC7DBE"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Biamp</w:t>
            </w:r>
          </w:p>
        </w:tc>
        <w:tc>
          <w:tcPr>
            <w:tcW w:w="4505" w:type="dxa"/>
            <w:vAlign w:val="center"/>
          </w:tcPr>
          <w:p w14:paraId="1060B1AD"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Patente/Hardware Exclusivo:</w:t>
            </w:r>
            <w:r>
              <w:rPr>
                <w:rFonts w:ascii="Arial" w:eastAsia="Arial" w:hAnsi="Arial" w:cs="Arial"/>
                <w:sz w:val="20"/>
                <w:szCs w:val="20"/>
              </w:rPr>
              <w:t xml:space="preserve"> Se exige explícitamente una "carcasa mecánica de protección (tipo BPAK)", la cual es un accesorio </w:t>
            </w:r>
            <w:r>
              <w:rPr>
                <w:rFonts w:ascii="Arial" w:eastAsia="Arial" w:hAnsi="Arial" w:cs="Arial"/>
                <w:sz w:val="20"/>
                <w:szCs w:val="20"/>
              </w:rPr>
              <w:lastRenderedPageBreak/>
              <w:t>exclusivo y patentado por Biamp, así como salida RJ-45 de amplificación por estándar AVB.</w:t>
            </w:r>
          </w:p>
        </w:tc>
        <w:tc>
          <w:tcPr>
            <w:tcW w:w="1794" w:type="dxa"/>
            <w:vAlign w:val="center"/>
          </w:tcPr>
          <w:p w14:paraId="688CF08B" w14:textId="77777777" w:rsidR="00BE6367" w:rsidRPr="00AA7016" w:rsidRDefault="00BE6367">
            <w:pPr>
              <w:spacing w:line="259" w:lineRule="auto"/>
              <w:jc w:val="both"/>
              <w:rPr>
                <w:rFonts w:ascii="Arial" w:eastAsia="Arial" w:hAnsi="Arial" w:cs="Arial"/>
                <w:sz w:val="20"/>
                <w:szCs w:val="20"/>
                <w:lang w:val="pt-PT"/>
              </w:rPr>
            </w:pPr>
            <w:hyperlink r:id="rId18">
              <w:r w:rsidRPr="00AA7016">
                <w:rPr>
                  <w:rFonts w:ascii="Arial" w:eastAsia="Arial" w:hAnsi="Arial" w:cs="Arial"/>
                  <w:color w:val="467886"/>
                  <w:sz w:val="20"/>
                  <w:szCs w:val="20"/>
                  <w:u w:val="single"/>
                  <w:lang w:val="pt-PT"/>
                </w:rPr>
                <w:t>Biamp AMP-450BP (Plenum Bracket BPAK)</w:t>
              </w:r>
            </w:hyperlink>
          </w:p>
        </w:tc>
      </w:tr>
      <w:tr w:rsidR="00BE6367" w14:paraId="3D75E86D" w14:textId="77777777">
        <w:tc>
          <w:tcPr>
            <w:tcW w:w="689" w:type="dxa"/>
            <w:vAlign w:val="center"/>
          </w:tcPr>
          <w:p w14:paraId="2D71F357"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45</w:t>
            </w:r>
          </w:p>
        </w:tc>
        <w:tc>
          <w:tcPr>
            <w:tcW w:w="1365" w:type="dxa"/>
            <w:vAlign w:val="center"/>
          </w:tcPr>
          <w:p w14:paraId="07912EF2"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Biamp</w:t>
            </w:r>
          </w:p>
        </w:tc>
        <w:tc>
          <w:tcPr>
            <w:tcW w:w="4505" w:type="dxa"/>
            <w:vAlign w:val="center"/>
          </w:tcPr>
          <w:p w14:paraId="67C2B854"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Cierre por Conector:</w:t>
            </w:r>
            <w:r>
              <w:rPr>
                <w:rFonts w:ascii="Arial" w:eastAsia="Arial" w:hAnsi="Arial" w:cs="Arial"/>
                <w:sz w:val="20"/>
                <w:szCs w:val="20"/>
              </w:rPr>
              <w:t xml:space="preserve"> Exige que el parlante pasivo de techo reciba señal no solo por Euroblock, sino mediante "conectores RJ-45 para señal mediante cable categoría" (tecnología típica de Biamp Desono).</w:t>
            </w:r>
          </w:p>
        </w:tc>
        <w:tc>
          <w:tcPr>
            <w:tcW w:w="1794" w:type="dxa"/>
            <w:vAlign w:val="center"/>
          </w:tcPr>
          <w:p w14:paraId="3426541F" w14:textId="77777777" w:rsidR="00BE6367" w:rsidRDefault="00BE6367">
            <w:pPr>
              <w:spacing w:line="259" w:lineRule="auto"/>
              <w:jc w:val="both"/>
              <w:rPr>
                <w:rFonts w:ascii="Arial" w:eastAsia="Arial" w:hAnsi="Arial" w:cs="Arial"/>
                <w:sz w:val="20"/>
                <w:szCs w:val="20"/>
              </w:rPr>
            </w:pPr>
            <w:hyperlink r:id="rId19">
              <w:r>
                <w:rPr>
                  <w:rFonts w:ascii="Arial" w:eastAsia="Arial" w:hAnsi="Arial" w:cs="Arial"/>
                  <w:color w:val="467886"/>
                  <w:sz w:val="20"/>
                  <w:szCs w:val="20"/>
                  <w:u w:val="single"/>
                </w:rPr>
                <w:t>Biamp Desono C-IC6</w:t>
              </w:r>
            </w:hyperlink>
          </w:p>
        </w:tc>
      </w:tr>
      <w:tr w:rsidR="00BE6367" w14:paraId="63A14B45" w14:textId="77777777">
        <w:tc>
          <w:tcPr>
            <w:tcW w:w="689" w:type="dxa"/>
            <w:vAlign w:val="center"/>
          </w:tcPr>
          <w:p w14:paraId="6F627C28"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46</w:t>
            </w:r>
          </w:p>
        </w:tc>
        <w:tc>
          <w:tcPr>
            <w:tcW w:w="1365" w:type="dxa"/>
            <w:vAlign w:val="center"/>
          </w:tcPr>
          <w:p w14:paraId="3041ED37"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Crestron</w:t>
            </w:r>
          </w:p>
        </w:tc>
        <w:tc>
          <w:tcPr>
            <w:tcW w:w="4505" w:type="dxa"/>
            <w:vAlign w:val="center"/>
          </w:tcPr>
          <w:p w14:paraId="6C3612FF"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Cierre de Memoria:</w:t>
            </w:r>
            <w:r>
              <w:rPr>
                <w:rFonts w:ascii="Arial" w:eastAsia="Arial" w:hAnsi="Arial" w:cs="Arial"/>
                <w:sz w:val="20"/>
                <w:szCs w:val="20"/>
              </w:rPr>
              <w:t xml:space="preserve"> El cerebro de automatización exige estrictamente "10 programas simultáneos", "2 GB de SDRAM" y "8 GB de memoria Flash". Copiado exacto de la serie 4 de Crestron.</w:t>
            </w:r>
          </w:p>
        </w:tc>
        <w:tc>
          <w:tcPr>
            <w:tcW w:w="1794" w:type="dxa"/>
            <w:vAlign w:val="center"/>
          </w:tcPr>
          <w:p w14:paraId="7183AD6E" w14:textId="77777777" w:rsidR="00BE6367" w:rsidRDefault="00BE6367">
            <w:pPr>
              <w:spacing w:line="259" w:lineRule="auto"/>
              <w:jc w:val="both"/>
              <w:rPr>
                <w:rFonts w:ascii="Arial" w:eastAsia="Arial" w:hAnsi="Arial" w:cs="Arial"/>
                <w:sz w:val="20"/>
                <w:szCs w:val="20"/>
              </w:rPr>
            </w:pPr>
            <w:hyperlink r:id="rId20">
              <w:r>
                <w:rPr>
                  <w:rFonts w:ascii="Arial" w:eastAsia="Arial" w:hAnsi="Arial" w:cs="Arial"/>
                  <w:color w:val="467886"/>
                  <w:sz w:val="20"/>
                  <w:szCs w:val="20"/>
                  <w:u w:val="single"/>
                </w:rPr>
                <w:t>Crestron CP4 / PRO4</w:t>
              </w:r>
            </w:hyperlink>
          </w:p>
        </w:tc>
      </w:tr>
      <w:tr w:rsidR="00BE6367" w:rsidRPr="00201EDC" w14:paraId="52B4FC9B" w14:textId="77777777">
        <w:tc>
          <w:tcPr>
            <w:tcW w:w="689" w:type="dxa"/>
            <w:vAlign w:val="center"/>
          </w:tcPr>
          <w:p w14:paraId="3DD18F13"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47</w:t>
            </w:r>
          </w:p>
        </w:tc>
        <w:tc>
          <w:tcPr>
            <w:tcW w:w="1365" w:type="dxa"/>
            <w:vAlign w:val="center"/>
          </w:tcPr>
          <w:p w14:paraId="2B6AB328"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Netgear / D-Link</w:t>
            </w:r>
          </w:p>
        </w:tc>
        <w:tc>
          <w:tcPr>
            <w:tcW w:w="4505" w:type="dxa"/>
            <w:vAlign w:val="center"/>
          </w:tcPr>
          <w:p w14:paraId="3767C48C"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Cierre por Rendimiento (Throughput):</w:t>
            </w:r>
            <w:r>
              <w:rPr>
                <w:rFonts w:ascii="Arial" w:eastAsia="Arial" w:hAnsi="Arial" w:cs="Arial"/>
                <w:sz w:val="20"/>
                <w:szCs w:val="20"/>
              </w:rPr>
              <w:t xml:space="preserve"> Es un switch AV estándar, pero exigir un </w:t>
            </w:r>
            <w:r>
              <w:rPr>
                <w:rFonts w:ascii="Arial" w:eastAsia="Arial" w:hAnsi="Arial" w:cs="Arial"/>
                <w:i/>
                <w:iCs/>
                <w:sz w:val="20"/>
                <w:szCs w:val="20"/>
              </w:rPr>
              <w:t>throughput</w:t>
            </w:r>
            <w:r>
              <w:rPr>
                <w:rFonts w:ascii="Arial" w:eastAsia="Arial" w:hAnsi="Arial" w:cs="Arial"/>
                <w:sz w:val="20"/>
                <w:szCs w:val="20"/>
              </w:rPr>
              <w:t xml:space="preserve"> exacto de "38.69 Mpps a 64 bytes" es una transcripción literal de la hoja de especificaciones de un fabricante asiático.</w:t>
            </w:r>
          </w:p>
        </w:tc>
        <w:tc>
          <w:tcPr>
            <w:tcW w:w="1794" w:type="dxa"/>
            <w:vAlign w:val="center"/>
          </w:tcPr>
          <w:p w14:paraId="22EBFF7C" w14:textId="77777777" w:rsidR="00BE6367" w:rsidRPr="00AA7016" w:rsidRDefault="00C90F6A">
            <w:pPr>
              <w:spacing w:line="259" w:lineRule="auto"/>
              <w:jc w:val="both"/>
              <w:rPr>
                <w:rFonts w:ascii="Arial" w:eastAsia="Arial" w:hAnsi="Arial" w:cs="Arial"/>
                <w:sz w:val="20"/>
                <w:szCs w:val="20"/>
                <w:lang w:val="pt-PT"/>
              </w:rPr>
            </w:pPr>
            <w:r w:rsidRPr="00AA7016">
              <w:rPr>
                <w:rFonts w:ascii="Arial" w:eastAsia="Arial" w:hAnsi="Arial" w:cs="Arial"/>
                <w:i/>
                <w:iCs/>
                <w:sz w:val="20"/>
                <w:szCs w:val="20"/>
                <w:lang w:val="pt-PT"/>
              </w:rPr>
              <w:t>Datasheets</w:t>
            </w:r>
            <w:r w:rsidRPr="00AA7016">
              <w:rPr>
                <w:rFonts w:ascii="Arial" w:eastAsia="Arial" w:hAnsi="Arial" w:cs="Arial"/>
                <w:sz w:val="20"/>
                <w:szCs w:val="20"/>
                <w:lang w:val="pt-PT"/>
              </w:rPr>
              <w:t xml:space="preserve"> comerciales (ej. Netgear M4250, D-Link DGS-1210).</w:t>
            </w:r>
          </w:p>
        </w:tc>
      </w:tr>
      <w:tr w:rsidR="00BE6367" w14:paraId="61F7FEBA" w14:textId="77777777">
        <w:tc>
          <w:tcPr>
            <w:tcW w:w="689" w:type="dxa"/>
            <w:vAlign w:val="center"/>
          </w:tcPr>
          <w:p w14:paraId="044BA7DF"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48</w:t>
            </w:r>
          </w:p>
        </w:tc>
        <w:tc>
          <w:tcPr>
            <w:tcW w:w="1365" w:type="dxa"/>
            <w:vAlign w:val="center"/>
          </w:tcPr>
          <w:p w14:paraId="6573B627"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Crestron</w:t>
            </w:r>
          </w:p>
        </w:tc>
        <w:tc>
          <w:tcPr>
            <w:tcW w:w="4505" w:type="dxa"/>
            <w:vAlign w:val="center"/>
          </w:tcPr>
          <w:p w14:paraId="231FF373"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Cierre de Diseño:</w:t>
            </w:r>
            <w:r>
              <w:rPr>
                <w:rFonts w:ascii="Arial" w:eastAsia="Arial" w:hAnsi="Arial" w:cs="Arial"/>
                <w:sz w:val="20"/>
                <w:szCs w:val="20"/>
              </w:rPr>
              <w:t xml:space="preserve"> Pantalla de reserva de 10.1" que integra "Beacon Bluetooth" y requiere una barra de luz externa con indicación visual de </w:t>
            </w:r>
            <m:oMath>
              <m:sSup>
                <m:sSupPr>
                  <m:ctrlPr>
                    <w:rPr>
                      <w:rFonts w:ascii="Cambria Math" w:eastAsia="Arial" w:hAnsi="Cambria Math" w:cs="Arial"/>
                      <w:sz w:val="20"/>
                      <w:szCs w:val="20"/>
                    </w:rPr>
                  </m:ctrlPr>
                </m:sSupPr>
                <m:e>
                  <m:r>
                    <w:rPr>
                      <w:rFonts w:ascii="Cambria Math" w:eastAsia="Arial" w:hAnsi="Cambria Math" w:cs="Arial"/>
                      <w:sz w:val="20"/>
                      <w:szCs w:val="20"/>
                    </w:rPr>
                    <m:t>180</m:t>
                  </m:r>
                </m:e>
                <m:sup>
                  <m:r>
                    <w:rPr>
                      <w:rFonts w:ascii="Cambria Math" w:eastAsia="Arial" w:hAnsi="Cambria Math" w:cs="Arial"/>
                      <w:sz w:val="20"/>
                      <w:szCs w:val="20"/>
                    </w:rPr>
                    <m:t>в€</m:t>
                  </m:r>
                  <m:r>
                    <w:rPr>
                      <w:rFonts w:ascii="Cambria Math" w:eastAsia="Arial" w:hAnsi="Cambria Math" w:cs="Cambria Math"/>
                      <w:sz w:val="20"/>
                      <w:szCs w:val="20"/>
                    </w:rPr>
                    <m:t></m:t>
                  </m:r>
                </m:sup>
              </m:sSup>
            </m:oMath>
            <w:r>
              <w:rPr>
                <w:rFonts w:ascii="Arial" w:eastAsia="Arial" w:hAnsi="Arial" w:cs="Arial"/>
                <w:sz w:val="20"/>
                <w:szCs w:val="20"/>
              </w:rPr>
              <w:t>.</w:t>
            </w:r>
          </w:p>
        </w:tc>
        <w:tc>
          <w:tcPr>
            <w:tcW w:w="1794" w:type="dxa"/>
            <w:vAlign w:val="center"/>
          </w:tcPr>
          <w:p w14:paraId="1BCB513B" w14:textId="77777777" w:rsidR="00BE6367" w:rsidRDefault="00BE6367">
            <w:pPr>
              <w:spacing w:line="259" w:lineRule="auto"/>
              <w:jc w:val="both"/>
              <w:rPr>
                <w:rFonts w:ascii="Arial" w:eastAsia="Arial" w:hAnsi="Arial" w:cs="Arial"/>
                <w:sz w:val="20"/>
                <w:szCs w:val="20"/>
              </w:rPr>
            </w:pPr>
            <w:hyperlink r:id="rId21">
              <w:r>
                <w:rPr>
                  <w:rFonts w:ascii="Arial" w:eastAsia="Arial" w:hAnsi="Arial" w:cs="Arial"/>
                  <w:color w:val="467886"/>
                  <w:sz w:val="20"/>
                  <w:szCs w:val="20"/>
                  <w:u w:val="single"/>
                </w:rPr>
                <w:t>Crestron TSS-1070 (Room Scheduling)</w:t>
              </w:r>
            </w:hyperlink>
          </w:p>
        </w:tc>
      </w:tr>
    </w:tbl>
    <w:p w14:paraId="01F40B8D" w14:textId="77777777" w:rsidR="00BE6367" w:rsidRDefault="00BE6367">
      <w:pPr>
        <w:spacing w:line="259" w:lineRule="auto"/>
        <w:jc w:val="both"/>
        <w:rPr>
          <w:rFonts w:ascii="Arial" w:eastAsia="Arial" w:hAnsi="Arial" w:cs="Arial"/>
          <w:sz w:val="20"/>
          <w:szCs w:val="20"/>
        </w:rPr>
      </w:pPr>
    </w:p>
    <w:p w14:paraId="0A6BDBDF" w14:textId="77777777" w:rsidR="00BE6367" w:rsidRDefault="00C90F6A">
      <w:pPr>
        <w:spacing w:after="0"/>
        <w:jc w:val="both"/>
        <w:rPr>
          <w:rFonts w:ascii="Arial" w:eastAsia="Arial" w:hAnsi="Arial" w:cs="Arial"/>
          <w:b/>
          <w:bCs/>
          <w:sz w:val="20"/>
          <w:szCs w:val="20"/>
        </w:rPr>
      </w:pPr>
      <w:r>
        <w:rPr>
          <w:rFonts w:ascii="Arial" w:eastAsia="Arial" w:hAnsi="Arial" w:cs="Arial"/>
          <w:b/>
          <w:bCs/>
          <w:sz w:val="20"/>
          <w:szCs w:val="20"/>
        </w:rPr>
        <w:t>RESPUESTA A OBSERVACIÓN:</w:t>
      </w:r>
    </w:p>
    <w:p w14:paraId="66DE9D9A" w14:textId="77777777" w:rsidR="00BE6367" w:rsidRDefault="00BE6367">
      <w:pPr>
        <w:jc w:val="both"/>
        <w:rPr>
          <w:rFonts w:ascii="Arial" w:eastAsia="Arial" w:hAnsi="Arial" w:cs="Arial"/>
          <w:b/>
          <w:bCs/>
          <w:sz w:val="20"/>
          <w:szCs w:val="20"/>
        </w:rPr>
      </w:pPr>
    </w:p>
    <w:p w14:paraId="0551187F"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se acepta la observación. Los requisitos técnicos y de certificación de fabricante del presente proceso están redactados en términos generales, objetivos e impersonales, sin hacer referencia a marca, modelo, proponente o integrador específico alguno, y se encuentran disponibles para ser gestionados y obtenidos por cualquier interesado ante el fabricante correspondiente, en igualdad de condiciones para todos los proponentes.</w:t>
      </w:r>
    </w:p>
    <w:p w14:paraId="1325787C"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Adicionalmente, la Entidad recuerda que, a lo largo del presente proceso, se han incorporado ajustes que amplían las alternativas tecnológicas admisibles en la mayoría de los ítems referidos por el observante (tecnologías de panel equivalentes, estándares de conectividad iguales o superiores, arquitecturas de retroiluminación equivalentes, entre otros), en aplicación de los principios de libre concurrencia y selección objetiva (art. 5 Ley 1150 de 2007), lo cual evidencia que la ficha técnica se ha mantenido abierta a la pluralidad de oferentes.</w:t>
      </w:r>
    </w:p>
    <w:p w14:paraId="1F8BF74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se mantienen los requisitos técnicos y de certificación de fabricante en</w:t>
      </w:r>
      <w:r>
        <w:rPr>
          <w:rFonts w:ascii="Arial" w:eastAsia="Arial" w:hAnsi="Arial" w:cs="Arial"/>
          <w:b/>
          <w:bCs/>
          <w:sz w:val="20"/>
          <w:szCs w:val="20"/>
        </w:rPr>
        <w:t xml:space="preserve"> l</w:t>
      </w:r>
      <w:r>
        <w:rPr>
          <w:rFonts w:ascii="Arial" w:eastAsia="Arial" w:hAnsi="Arial" w:cs="Arial"/>
          <w:sz w:val="20"/>
          <w:szCs w:val="20"/>
        </w:rPr>
        <w:t>os términos ya ajustados a lo largo del presente proceso.</w:t>
      </w:r>
    </w:p>
    <w:p w14:paraId="579B1F09" w14:textId="77777777" w:rsidR="00BE6367" w:rsidRDefault="00BE6367">
      <w:pPr>
        <w:jc w:val="both"/>
        <w:rPr>
          <w:rFonts w:ascii="Arial" w:eastAsia="Arial" w:hAnsi="Arial" w:cs="Arial"/>
          <w:b/>
          <w:bCs/>
          <w:sz w:val="20"/>
          <w:szCs w:val="20"/>
        </w:rPr>
      </w:pPr>
    </w:p>
    <w:p w14:paraId="750282D8" w14:textId="77777777" w:rsidR="00BE6367" w:rsidRDefault="00BE6367">
      <w:pPr>
        <w:jc w:val="both"/>
        <w:rPr>
          <w:rFonts w:ascii="Arial" w:eastAsia="Arial" w:hAnsi="Arial" w:cs="Arial"/>
          <w:b/>
          <w:bCs/>
          <w:sz w:val="20"/>
          <w:szCs w:val="20"/>
        </w:rPr>
      </w:pPr>
    </w:p>
    <w:p w14:paraId="7C628BDB"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OBSERVACIÓN 3: </w:t>
      </w:r>
    </w:p>
    <w:p w14:paraId="6B9C4645" w14:textId="77777777" w:rsidR="00BE6367" w:rsidRDefault="00C90F6A">
      <w:pPr>
        <w:jc w:val="both"/>
        <w:rPr>
          <w:rFonts w:ascii="Arial" w:eastAsia="Arial" w:hAnsi="Arial" w:cs="Arial"/>
          <w:sz w:val="20"/>
          <w:szCs w:val="20"/>
        </w:rPr>
      </w:pPr>
      <w:r>
        <w:rPr>
          <w:rFonts w:ascii="Arial" w:eastAsia="Arial" w:hAnsi="Arial" w:cs="Arial"/>
          <w:b/>
          <w:bCs/>
          <w:sz w:val="20"/>
          <w:szCs w:val="20"/>
        </w:rPr>
        <w:lastRenderedPageBreak/>
        <w:t>DIRECCIONAMIENTO TÉCNICO Y ADMINISTRATIVO EN CÁMARAS PTZ</w:t>
      </w:r>
      <w:r>
        <w:rPr>
          <w:rFonts w:ascii="Arial" w:eastAsia="Arial" w:hAnsi="Arial" w:cs="Arial"/>
          <w:sz w:val="20"/>
          <w:szCs w:val="20"/>
        </w:rPr>
        <w:t xml:space="preserve"> </w:t>
      </w:r>
    </w:p>
    <w:p w14:paraId="6540ACB1" w14:textId="77777777" w:rsidR="00BE6367" w:rsidRDefault="00C90F6A">
      <w:pPr>
        <w:jc w:val="both"/>
        <w:rPr>
          <w:rFonts w:ascii="Arial" w:eastAsia="Arial" w:hAnsi="Arial" w:cs="Arial"/>
          <w:sz w:val="20"/>
          <w:szCs w:val="20"/>
        </w:rPr>
      </w:pPr>
      <w:r>
        <w:rPr>
          <w:rFonts w:ascii="Arial" w:eastAsia="Arial" w:hAnsi="Arial" w:cs="Arial"/>
          <w:sz w:val="20"/>
          <w:szCs w:val="20"/>
        </w:rPr>
        <w:t>Se ratifica la preocupación sobre el ítem 34 (Cámara PTZ). Adicional a las especificaciones técnicas cerradas que transcriben manuales de fabricantes específicos, se exige personal técnico certificado por el fabricante. Al igual que en los demás ítems mencionados, los fabricantes han confirmado que dichas certificaciones de personal autorizado serán emitidas exclusivamente para el oferente Matizzo, configurando un bloqueo absoluto a la competencia. Esta práctica de exigir personal certificado bajo nómina de un único proponente, cuando el fabricante es el único que puede emitir dicha certificación, es una restricción injustificada que debe ser retirada para garantizar la pluralidad.</w:t>
      </w:r>
    </w:p>
    <w:p w14:paraId="7D2DE43B"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649994C8" w14:textId="77777777" w:rsidR="00BE6367" w:rsidRDefault="00BE6367">
      <w:pPr>
        <w:jc w:val="both"/>
        <w:rPr>
          <w:rFonts w:ascii="Arial" w:eastAsia="Arial" w:hAnsi="Arial" w:cs="Arial"/>
          <w:sz w:val="20"/>
          <w:szCs w:val="20"/>
        </w:rPr>
      </w:pPr>
    </w:p>
    <w:p w14:paraId="72EDA57A"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se acepta la observación. El requisito de personal técnico certificado por el fabricante para el ítem 34 (Cámara PTZ) está redactado en términos generales, objetivos e impersonales, sin hacer referencia a marca, modelo, proponente o integrador específico alguno, y se encuentra disponible para ser gestionado y obtenido por cualquier interesado ante el fabricante correspondiente, en igualdad de condiciones para todos los proponentes del proceso.</w:t>
      </w:r>
    </w:p>
    <w:p w14:paraId="21F23DF2"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Entidad mantiene esta exigencia como requisito habilitante desde la presentación de la oferta, por cuanto resulta necesario garantizar que el comitente vendedor cuente, con personal idóneo para la configuración e integración de los sistemas objeto del presente ítem. Existen distintas empresas e integradores de tecnología en el mercado que se encuentran en capacidad de obtener este tipo de certificaciones, sin que exista elemento alguno que permita afirmar la existencia de un direccionamiento hacia un proponente en particular.</w:t>
      </w:r>
    </w:p>
    <w:p w14:paraId="653F33DF"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Adicionalmente, se precisa que el presente proceso permite la participación mediante consorcios o uniones temporales, figura que posibilita que dos o más proponentes concurran conjuntamente, sumando sus respectivas experiencias e idoneidades técnicas, incluyendo la certificación de personal exigida para este ítem, lo cual amplía las alternativas de participación disponibles para los interesados en el mercado.</w:t>
      </w:r>
    </w:p>
    <w:p w14:paraId="44B5CC60"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Finalmente, se precisa que el documento que acredite que el profesional certificado hace parte de la nómina o se encuentra vinculado laboralmente con el comitente vendedor podrá ser aportado por el contratista una vez adjudicado el proceso, dentro del plazo que para tal efecto se establezca previo al inicio de la ejecución del contrato, sin que dicha acreditación de vinculación laboral constituya requisito habilitante en la etapa de evaluación de la oferta.</w:t>
      </w:r>
    </w:p>
    <w:p w14:paraId="0D6E5AF7"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se mantiene el requisito de certificación de personal técnico en los términos definidos en el FTN para el ítem 34 (Cámara PTZ), precisando que la acreditación de vinculación laboral (nómina) del profesional certificado podrá aportarse por el contratista adjudicatario en los términos aquí señalados.</w:t>
      </w:r>
    </w:p>
    <w:p w14:paraId="5DA47245" w14:textId="77777777" w:rsidR="00BE6367" w:rsidRDefault="00BE6367">
      <w:pPr>
        <w:jc w:val="both"/>
        <w:rPr>
          <w:rFonts w:ascii="Arial" w:eastAsia="Arial" w:hAnsi="Arial" w:cs="Arial"/>
          <w:sz w:val="20"/>
          <w:szCs w:val="20"/>
        </w:rPr>
      </w:pPr>
    </w:p>
    <w:p w14:paraId="08C0B848" w14:textId="77777777" w:rsidR="00BE6367" w:rsidRDefault="00BE6367">
      <w:pPr>
        <w:jc w:val="both"/>
        <w:rPr>
          <w:rFonts w:ascii="Arial" w:eastAsia="Arial" w:hAnsi="Arial" w:cs="Arial"/>
          <w:sz w:val="20"/>
          <w:szCs w:val="20"/>
        </w:rPr>
      </w:pPr>
    </w:p>
    <w:p w14:paraId="646A5541" w14:textId="77777777" w:rsidR="00BE6367" w:rsidRDefault="00BE6367">
      <w:pPr>
        <w:jc w:val="both"/>
        <w:rPr>
          <w:rFonts w:ascii="Arial" w:eastAsia="Arial" w:hAnsi="Arial" w:cs="Arial"/>
          <w:sz w:val="20"/>
          <w:szCs w:val="20"/>
        </w:rPr>
      </w:pPr>
    </w:p>
    <w:p w14:paraId="5E559A2B" w14:textId="77777777" w:rsidR="00BE6367" w:rsidRDefault="00C90F6A">
      <w:pPr>
        <w:spacing w:before="80"/>
        <w:jc w:val="both"/>
        <w:rPr>
          <w:rFonts w:ascii="Arial" w:eastAsia="Arial" w:hAnsi="Arial" w:cs="Arial"/>
          <w:sz w:val="20"/>
          <w:szCs w:val="20"/>
        </w:rPr>
      </w:pPr>
      <w:r>
        <w:rPr>
          <w:rFonts w:ascii="Arial" w:eastAsia="Arial" w:hAnsi="Arial" w:cs="Arial"/>
          <w:sz w:val="20"/>
          <w:szCs w:val="20"/>
        </w:rPr>
        <w:t>Bogotá D.C., julio de 2026</w:t>
      </w:r>
    </w:p>
    <w:p w14:paraId="1508519E" w14:textId="77777777" w:rsidR="00BE6367" w:rsidRDefault="00C90F6A">
      <w:pPr>
        <w:spacing w:before="80" w:after="80"/>
        <w:jc w:val="both"/>
        <w:rPr>
          <w:rFonts w:ascii="Arial" w:eastAsia="Arial" w:hAnsi="Arial" w:cs="Arial"/>
          <w:sz w:val="20"/>
          <w:szCs w:val="20"/>
        </w:rPr>
      </w:pPr>
      <w:r>
        <w:rPr>
          <w:rFonts w:ascii="Arial" w:eastAsia="Arial" w:hAnsi="Arial" w:cs="Arial"/>
          <w:b/>
          <w:bCs/>
          <w:color w:val="000000"/>
          <w:sz w:val="20"/>
          <w:szCs w:val="20"/>
        </w:rPr>
        <w:t>Señores</w:t>
      </w:r>
    </w:p>
    <w:p w14:paraId="7B2FE6BF" w14:textId="77777777" w:rsidR="00BE6367" w:rsidRDefault="00C90F6A">
      <w:pPr>
        <w:spacing w:before="80" w:after="80"/>
        <w:jc w:val="both"/>
        <w:rPr>
          <w:rFonts w:ascii="Arial" w:eastAsia="Arial" w:hAnsi="Arial" w:cs="Arial"/>
          <w:sz w:val="20"/>
          <w:szCs w:val="20"/>
        </w:rPr>
      </w:pPr>
      <w:r>
        <w:rPr>
          <w:rFonts w:ascii="Arial" w:eastAsia="Arial" w:hAnsi="Arial" w:cs="Arial"/>
          <w:b/>
          <w:bCs/>
          <w:color w:val="000000"/>
          <w:sz w:val="20"/>
          <w:szCs w:val="20"/>
        </w:rPr>
        <w:lastRenderedPageBreak/>
        <w:t>PROCURADURÍA GENERAL DE LA NACIÓN</w:t>
      </w:r>
    </w:p>
    <w:p w14:paraId="77B4311C" w14:textId="77777777" w:rsidR="00BE6367" w:rsidRDefault="00C90F6A">
      <w:pPr>
        <w:spacing w:before="80"/>
        <w:jc w:val="both"/>
        <w:rPr>
          <w:rFonts w:ascii="Arial" w:eastAsia="Arial" w:hAnsi="Arial" w:cs="Arial"/>
          <w:sz w:val="20"/>
          <w:szCs w:val="20"/>
        </w:rPr>
      </w:pPr>
      <w:r>
        <w:rPr>
          <w:rFonts w:ascii="Arial" w:eastAsia="Arial" w:hAnsi="Arial" w:cs="Arial"/>
          <w:sz w:val="20"/>
          <w:szCs w:val="20"/>
        </w:rPr>
        <w:t>Ciudad</w:t>
      </w:r>
    </w:p>
    <w:p w14:paraId="56CCE599" w14:textId="77777777" w:rsidR="00BE6367" w:rsidRDefault="00C90F6A">
      <w:pPr>
        <w:spacing w:before="80" w:after="80"/>
        <w:jc w:val="both"/>
        <w:rPr>
          <w:rFonts w:ascii="Arial" w:eastAsia="Arial" w:hAnsi="Arial" w:cs="Arial"/>
          <w:sz w:val="20"/>
          <w:szCs w:val="20"/>
        </w:rPr>
      </w:pPr>
      <w:r>
        <w:rPr>
          <w:rFonts w:ascii="Arial" w:eastAsia="Arial" w:hAnsi="Arial" w:cs="Arial"/>
          <w:b/>
          <w:bCs/>
          <w:color w:val="000000"/>
          <w:sz w:val="20"/>
          <w:szCs w:val="20"/>
        </w:rPr>
        <w:t xml:space="preserve">Ref.: </w:t>
      </w:r>
      <w:r>
        <w:rPr>
          <w:rFonts w:ascii="Arial" w:eastAsia="Arial" w:hAnsi="Arial" w:cs="Arial"/>
          <w:sz w:val="20"/>
          <w:szCs w:val="20"/>
        </w:rPr>
        <w:t>Observaciones al Pliego de Condiciones — Proceso BMI-2026-527 — ADQUISICIÓN, IMPLEMENTACIÓN Y SOPORTE TECNOLÓGICO QUE INCLUYA SOLUCIONES AUDIOVISUALES, EQUIPOS DE CÓMPUTO Y PERIFÉRICOS — Bolsa Mercantil de Colombia (BMC).</w:t>
      </w:r>
    </w:p>
    <w:p w14:paraId="0D91041D" w14:textId="77777777" w:rsidR="00BE6367" w:rsidRDefault="00C90F6A">
      <w:pPr>
        <w:spacing w:before="80" w:after="80"/>
        <w:jc w:val="both"/>
        <w:rPr>
          <w:rFonts w:ascii="Arial" w:eastAsia="Arial" w:hAnsi="Arial" w:cs="Arial"/>
          <w:sz w:val="20"/>
          <w:szCs w:val="20"/>
        </w:rPr>
      </w:pPr>
      <w:r>
        <w:rPr>
          <w:rFonts w:ascii="Arial" w:eastAsia="Arial" w:hAnsi="Arial" w:cs="Arial"/>
          <w:b/>
          <w:bCs/>
          <w:color w:val="000000"/>
          <w:sz w:val="20"/>
          <w:szCs w:val="20"/>
        </w:rPr>
        <w:t>Respetados señores:</w:t>
      </w:r>
    </w:p>
    <w:p w14:paraId="0F5784BC"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En calidad de proponente interesado en el proceso de la referencia, presenta las siguientes observaciones técnicas y de mercado al pliego de condiciones, con el propósito de garantizar condiciones de competencia efectiva y requisitos técnicos acordes al estado real de la tecnología disponible en el mercado colombiano e internacional.</w:t>
      </w:r>
    </w:p>
    <w:p w14:paraId="2B8BDC9E" w14:textId="77777777" w:rsidR="00BE6367" w:rsidRDefault="00C90F6A">
      <w:pPr>
        <w:spacing w:before="80"/>
        <w:jc w:val="both"/>
        <w:rPr>
          <w:rFonts w:ascii="Arial" w:eastAsia="Arial" w:hAnsi="Arial" w:cs="Arial"/>
          <w:sz w:val="20"/>
          <w:szCs w:val="20"/>
        </w:rPr>
      </w:pPr>
      <w:r>
        <w:rPr>
          <w:rFonts w:ascii="Arial" w:eastAsia="Arial" w:hAnsi="Arial" w:cs="Arial"/>
          <w:sz w:val="20"/>
          <w:szCs w:val="20"/>
        </w:rPr>
        <w:t>Las presentes observaciones se basan en el análisis comparativo de los requisitos técnicos del pliego frente a las especificaciones estándar de la industria de tecnología audiovisual e interactiva. Se identificaron requisitos que, en su redacción actual, excluyen equipos de primer nivel mundial que cumplen plenamente el propósito funcional del proceso, sin que exista justificación técnica para las especificaciones planteadas.</w:t>
      </w:r>
    </w:p>
    <w:p w14:paraId="2F9B5558" w14:textId="77777777" w:rsidR="00BE6367" w:rsidRDefault="00C90F6A">
      <w:pPr>
        <w:pBdr>
          <w:bottom w:val="single" w:sz="8" w:space="4" w:color="1F3864"/>
        </w:pBdr>
        <w:spacing w:before="160" w:after="80"/>
        <w:jc w:val="both"/>
        <w:rPr>
          <w:rFonts w:ascii="Arial" w:eastAsia="Arial" w:hAnsi="Arial" w:cs="Arial"/>
          <w:sz w:val="20"/>
          <w:szCs w:val="20"/>
        </w:rPr>
      </w:pPr>
      <w:r>
        <w:rPr>
          <w:rFonts w:ascii="Arial" w:eastAsia="Arial" w:hAnsi="Arial" w:cs="Arial"/>
          <w:b/>
          <w:bCs/>
          <w:color w:val="1F3864"/>
          <w:sz w:val="20"/>
          <w:szCs w:val="20"/>
        </w:rPr>
        <w:t>OBSERVACIONES Y ACLARACIONES AL PLIEGO DE CONDICIONES</w:t>
      </w:r>
    </w:p>
    <w:p w14:paraId="7525D06E" w14:textId="77777777" w:rsidR="00BE6367" w:rsidRDefault="00C90F6A">
      <w:pPr>
        <w:pBdr>
          <w:bottom w:val="single" w:sz="4" w:space="2" w:color="2E5F8A"/>
        </w:pBdr>
        <w:spacing w:before="160" w:after="40"/>
        <w:jc w:val="both"/>
        <w:rPr>
          <w:rFonts w:ascii="Arial" w:eastAsia="Arial" w:hAnsi="Arial" w:cs="Arial"/>
          <w:sz w:val="20"/>
          <w:szCs w:val="20"/>
        </w:rPr>
      </w:pPr>
      <w:r>
        <w:rPr>
          <w:rFonts w:ascii="Arial" w:eastAsia="Arial" w:hAnsi="Arial" w:cs="Arial"/>
          <w:b/>
          <w:bCs/>
          <w:color w:val="2E5F8A"/>
          <w:sz w:val="20"/>
          <w:szCs w:val="20"/>
        </w:rPr>
        <w:t>ÍTEM: PANTALLA INTERACTIVA 65" — SIBOL 44320</w:t>
      </w:r>
    </w:p>
    <w:p w14:paraId="46BA0665" w14:textId="77777777" w:rsidR="00BE6367" w:rsidRDefault="00C90F6A">
      <w:pPr>
        <w:spacing w:before="160" w:after="40"/>
        <w:jc w:val="both"/>
        <w:rPr>
          <w:rFonts w:ascii="Arial" w:eastAsia="Arial" w:hAnsi="Arial" w:cs="Arial"/>
          <w:sz w:val="20"/>
          <w:szCs w:val="20"/>
        </w:rPr>
      </w:pPr>
      <w:r>
        <w:rPr>
          <w:rFonts w:ascii="Arial" w:eastAsia="Arial" w:hAnsi="Arial" w:cs="Arial"/>
          <w:b/>
          <w:bCs/>
          <w:color w:val="2E5F8A"/>
          <w:sz w:val="20"/>
          <w:szCs w:val="20"/>
        </w:rPr>
        <w:t xml:space="preserve">OBSERVACIÓN No. 1.1: </w:t>
      </w:r>
      <w:r>
        <w:rPr>
          <w:rFonts w:ascii="Arial" w:eastAsia="Arial" w:hAnsi="Arial" w:cs="Arial"/>
          <w:b/>
          <w:bCs/>
          <w:color w:val="000000"/>
          <w:sz w:val="20"/>
          <w:szCs w:val="20"/>
        </w:rPr>
        <w:t>Cantidad mínima de micrófonos integrados (16 unidades) — no corresponde al estándar de mercado</w:t>
      </w:r>
    </w:p>
    <w:p w14:paraId="69942309"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El pliego exige un mínimo de 16 micrófonos integrados en el chasis del equipo. Esta especificación no corresponde a ningún estándar técnico de la industria de pantallas interactivas reconocido internacionalmente (IEC, IEEE, ANSI/INFOCOMM). El estándar de mercado para pantallas de 65" de uso corporativo y educativo es una matriz de 8 micrófonos integrados con Reducción Activa de Ruido (ANR/ANC) y Control Automático de Ganancia (AGC).</w:t>
      </w:r>
    </w:p>
    <w:p w14:paraId="73110202"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Todos los fabricantes líderes certificados por Google EDLA, Microsoft Teams Room y Zoom Rooms incorporan entre 6 y 8 micrófonos con algoritmos de beamforming (formación de haz). La inteligibilidad del habla depende del procesamiento digital de la señal —no de la cantidad bruta de captores—, por lo cual 8 micrófonos de alta precisión con ANR y AGC superan técnicamente a 16 micrófonos sin procesamiento avanzado.</w:t>
      </w:r>
    </w:p>
    <w:p w14:paraId="6E86FC96"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Especificación propuesta: 'Mínimo 8 micrófonos integrados en el chasis, con Reducción Activa de Ruido (ANR) y Control Automático de Ganancia (AGC)'.</w:t>
      </w:r>
    </w:p>
    <w:p w14:paraId="4B94FC0E" w14:textId="77777777" w:rsidR="00BE6367" w:rsidRDefault="00C90F6A">
      <w:pPr>
        <w:spacing w:before="80" w:after="120"/>
        <w:jc w:val="both"/>
        <w:rPr>
          <w:rFonts w:ascii="Arial" w:eastAsia="Arial" w:hAnsi="Arial" w:cs="Arial"/>
          <w:sz w:val="20"/>
          <w:szCs w:val="20"/>
        </w:rPr>
      </w:pPr>
      <w:r>
        <w:rPr>
          <w:rFonts w:ascii="Arial" w:eastAsia="Arial" w:hAnsi="Arial" w:cs="Arial"/>
          <w:b/>
          <w:bCs/>
          <w:color w:val="2E5F8A"/>
          <w:sz w:val="20"/>
          <w:szCs w:val="20"/>
        </w:rPr>
        <w:t xml:space="preserve">Solicitud: </w:t>
      </w:r>
      <w:r>
        <w:rPr>
          <w:rFonts w:ascii="Arial" w:eastAsia="Arial" w:hAnsi="Arial" w:cs="Arial"/>
          <w:sz w:val="20"/>
          <w:szCs w:val="20"/>
        </w:rPr>
        <w:t>Se solicita respetuosamente a la entidad estudiar la presente observación y ajustar el pliego de condiciones en consecuencia.</w:t>
      </w:r>
    </w:p>
    <w:p w14:paraId="2D967EC7" w14:textId="77777777" w:rsidR="00BE6367" w:rsidRDefault="00BE6367">
      <w:pPr>
        <w:spacing w:before="80" w:after="120"/>
        <w:jc w:val="both"/>
        <w:rPr>
          <w:rFonts w:ascii="Arial" w:eastAsia="Arial" w:hAnsi="Arial" w:cs="Arial"/>
          <w:sz w:val="20"/>
          <w:szCs w:val="20"/>
        </w:rPr>
      </w:pPr>
    </w:p>
    <w:p w14:paraId="018A5C08"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33F95A2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acepta parcialmente la observación. La Entidad mantiene el requerimiento de un mínimo de 16 micrófonos, por corresponder a una necesidad identificada en el análisis técnico y el estudio de mercado que sustentan el presente proceso, orientada a garantizar una cobertura de captación de audio acorde con las dimensiones y el uso previsto para los espacios donde se instalarán los equipos.</w:t>
      </w:r>
    </w:p>
    <w:p w14:paraId="00053DD4"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lastRenderedPageBreak/>
        <w:t>No obstante, se acoge la solicitud del observante en cuanto a admitir que dicha cantidad se logre mediante micrófonos integrados en el chasis del equipo, o una combinación de micrófonos de expansión suministrados por el fabricante, siempre que el conjunto total garantice la cobertura de captación exigida y que los micrófonos ofertados integrados o de expansión, en los términos propuestos por el observante, a fin de asegurar un estándar de calidad de audio acorde con las mejores prácticas de la industria.</w:t>
      </w:r>
    </w:p>
    <w:p w14:paraId="6421A5F3"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ficha técnica será ajustada para precisar que el requisito de 16 micrófonos podrá cumplirse mediante micrófonos integrados, módulos de expansión del mismo fabricante, o la combinación de ambos, exigiéndose en todo caso la incorporación de tecnología ANR y AGC.</w:t>
      </w:r>
    </w:p>
    <w:p w14:paraId="79E838C0" w14:textId="77777777" w:rsidR="00BE6367" w:rsidRDefault="00BE6367">
      <w:pPr>
        <w:spacing w:before="80" w:after="120"/>
        <w:jc w:val="both"/>
        <w:rPr>
          <w:rFonts w:ascii="Arial" w:eastAsia="Arial" w:hAnsi="Arial" w:cs="Arial"/>
          <w:sz w:val="20"/>
          <w:szCs w:val="20"/>
        </w:rPr>
      </w:pPr>
    </w:p>
    <w:p w14:paraId="5CD6091F" w14:textId="77777777" w:rsidR="00BE6367" w:rsidRDefault="00C90F6A">
      <w:pPr>
        <w:spacing w:before="160" w:after="40"/>
        <w:jc w:val="both"/>
        <w:rPr>
          <w:rFonts w:ascii="Arial" w:eastAsia="Arial" w:hAnsi="Arial" w:cs="Arial"/>
          <w:sz w:val="20"/>
          <w:szCs w:val="20"/>
        </w:rPr>
      </w:pPr>
      <w:r>
        <w:rPr>
          <w:rFonts w:ascii="Arial" w:eastAsia="Arial" w:hAnsi="Arial" w:cs="Arial"/>
          <w:b/>
          <w:bCs/>
          <w:color w:val="2E5F8A"/>
          <w:sz w:val="20"/>
          <w:szCs w:val="20"/>
        </w:rPr>
        <w:t xml:space="preserve">OBSERVACIÓN No. 1.2: </w:t>
      </w:r>
      <w:r>
        <w:rPr>
          <w:rFonts w:ascii="Arial" w:eastAsia="Arial" w:hAnsi="Arial" w:cs="Arial"/>
          <w:b/>
          <w:bCs/>
          <w:color w:val="000000"/>
          <w:sz w:val="20"/>
          <w:szCs w:val="20"/>
        </w:rPr>
        <w:t>Alcance efectivo de micrófonos (10 metros) — excede el rango funcional de uso previsto</w:t>
      </w:r>
    </w:p>
    <w:p w14:paraId="1A28CF58"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El pliego exige alcance mínimo de 10 metros para los micrófonos integrados. En salas de reuniones y aulas estándar donde se instalan pantallas de 65", la distancia usuaria-pantalla rara vez supera los 6 a 8 metros. Las matrices de 8 micrófonos de alta precisión con beamforming activo certifican alcances efectivos de 8 metros con ángulo de captación de 45° a 135°, cubriendo la totalidad del espacio de uso previsto.</w:t>
      </w:r>
    </w:p>
    <w:p w14:paraId="2AA717B8"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Especificación propuesta: 'Alcance efectivo mínimo de 8 metros'.</w:t>
      </w:r>
    </w:p>
    <w:p w14:paraId="6745C2E3" w14:textId="77777777" w:rsidR="00BE6367" w:rsidRDefault="00C90F6A">
      <w:pPr>
        <w:spacing w:before="80" w:after="120"/>
        <w:jc w:val="both"/>
        <w:rPr>
          <w:rFonts w:ascii="Arial" w:eastAsia="Arial" w:hAnsi="Arial" w:cs="Arial"/>
          <w:sz w:val="20"/>
          <w:szCs w:val="20"/>
        </w:rPr>
      </w:pPr>
      <w:r>
        <w:rPr>
          <w:rFonts w:ascii="Arial" w:eastAsia="Arial" w:hAnsi="Arial" w:cs="Arial"/>
          <w:b/>
          <w:bCs/>
          <w:color w:val="2E5F8A"/>
          <w:sz w:val="20"/>
          <w:szCs w:val="20"/>
        </w:rPr>
        <w:t xml:space="preserve">Solicitud: </w:t>
      </w:r>
      <w:r>
        <w:rPr>
          <w:rFonts w:ascii="Arial" w:eastAsia="Arial" w:hAnsi="Arial" w:cs="Arial"/>
          <w:sz w:val="20"/>
          <w:szCs w:val="20"/>
        </w:rPr>
        <w:t>Se solicita respetuosamente a la entidad estudiar la presente observación y ajustar el pliego de condiciones en consecuencia.</w:t>
      </w:r>
    </w:p>
    <w:p w14:paraId="7A525E85" w14:textId="77777777" w:rsidR="00BE6367" w:rsidRDefault="00BE6367">
      <w:pPr>
        <w:spacing w:before="80" w:after="120"/>
        <w:jc w:val="both"/>
        <w:rPr>
          <w:rFonts w:ascii="Arial" w:eastAsia="Arial" w:hAnsi="Arial" w:cs="Arial"/>
          <w:sz w:val="20"/>
          <w:szCs w:val="20"/>
        </w:rPr>
      </w:pPr>
    </w:p>
    <w:p w14:paraId="45010F46" w14:textId="77777777" w:rsidR="00BE6367" w:rsidRDefault="00C90F6A">
      <w:pPr>
        <w:spacing w:after="0"/>
        <w:jc w:val="both"/>
        <w:rPr>
          <w:rFonts w:ascii="Arial" w:eastAsia="Arial" w:hAnsi="Arial" w:cs="Arial"/>
          <w:b/>
          <w:bCs/>
          <w:sz w:val="20"/>
          <w:szCs w:val="20"/>
        </w:rPr>
      </w:pPr>
      <w:r>
        <w:rPr>
          <w:rFonts w:ascii="Arial" w:eastAsia="Arial" w:hAnsi="Arial" w:cs="Arial"/>
          <w:b/>
          <w:bCs/>
          <w:sz w:val="20"/>
          <w:szCs w:val="20"/>
        </w:rPr>
        <w:t>RESPUESTA A OBSERVACIÓN:</w:t>
      </w:r>
    </w:p>
    <w:p w14:paraId="54B3CD1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se acepta la observación. La Entidad, con fundamento en el análisis técnico y el estudio de mercado que sustentan el presente proceso, mantiene el requerimiento de alcance efectivo mínimo de 10 metros para los micrófonos integrados, por considerar que dicha cobertura resulta necesaria para garantizar la adecuada captación de audio en la totalidad de los espacios en los que se prevé la instalación y uso de los equipos, los cuales pueden superar las dimensiones estándar de una sala de reuniones convencional.</w:t>
      </w:r>
    </w:p>
    <w:p w14:paraId="10D0C5D4"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Sin perjuicio de lo anterior, la Entidad aclara que el alcance exigido corresponde a una condición de cobertura funcional del equipo y no impide que este sea alcanzado mediante tecnologías de micrófonos con beamforming activo u otras soluciones técnicas equivalentes, siempre que el proponente acredite, mediante ficha técnica del fabricante, el cumplimiento del alcance mínimo exigido.</w:t>
      </w:r>
    </w:p>
    <w:p w14:paraId="344205E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se mantiene el requisito de alcance efectivo mínimo de 10 metros en los términos definidos en la ficha técnica.</w:t>
      </w:r>
    </w:p>
    <w:p w14:paraId="63E8FEA7" w14:textId="77777777" w:rsidR="00BE6367" w:rsidRDefault="00BE6367">
      <w:pPr>
        <w:spacing w:after="0"/>
        <w:jc w:val="both"/>
        <w:rPr>
          <w:rFonts w:ascii="Arial" w:eastAsia="Arial" w:hAnsi="Arial" w:cs="Arial"/>
          <w:b/>
          <w:bCs/>
          <w:sz w:val="20"/>
          <w:szCs w:val="20"/>
        </w:rPr>
      </w:pPr>
    </w:p>
    <w:p w14:paraId="7C7E2C0C" w14:textId="77777777" w:rsidR="00BE6367" w:rsidRDefault="00C90F6A">
      <w:pPr>
        <w:spacing w:before="160" w:after="40"/>
        <w:jc w:val="both"/>
        <w:rPr>
          <w:rFonts w:ascii="Arial" w:eastAsia="Arial" w:hAnsi="Arial" w:cs="Arial"/>
          <w:sz w:val="20"/>
          <w:szCs w:val="20"/>
        </w:rPr>
      </w:pPr>
      <w:r>
        <w:rPr>
          <w:rFonts w:ascii="Arial" w:eastAsia="Arial" w:hAnsi="Arial" w:cs="Arial"/>
          <w:b/>
          <w:bCs/>
          <w:color w:val="2E5F8A"/>
          <w:sz w:val="20"/>
          <w:szCs w:val="20"/>
        </w:rPr>
        <w:t xml:space="preserve">OBSERVACIÓN No. 1.3: </w:t>
      </w:r>
      <w:r>
        <w:rPr>
          <w:rFonts w:ascii="Arial" w:eastAsia="Arial" w:hAnsi="Arial" w:cs="Arial"/>
          <w:b/>
          <w:bCs/>
          <w:color w:val="000000"/>
          <w:sz w:val="20"/>
          <w:szCs w:val="20"/>
        </w:rPr>
        <w:t>Especificación Wi-Fi versión 6.0 (802.11ax) — Solicitar aceptación de Wi-Fi 5 dual banda</w:t>
      </w:r>
    </w:p>
    <w:p w14:paraId="0F6CD155"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 xml:space="preserve">El pliego exige conectividad Wi-Fi mínimo versión 6.0 (802.11ax) para la pantalla interactiva de 65". La adopción de Wi-Fi 6 en el segmento de pantallas interactivas de instalación fija de pared no es universal en el mercado internacional a la fecha de publicación del pliego. La conectividad realmente requerida para los usos previstos —streaming 4K, videoconferencia, aplicaciones </w:t>
      </w:r>
      <w:r>
        <w:rPr>
          <w:rFonts w:ascii="Arial" w:eastAsia="Arial" w:hAnsi="Arial" w:cs="Arial"/>
          <w:sz w:val="20"/>
          <w:szCs w:val="20"/>
        </w:rPr>
        <w:lastRenderedPageBreak/>
        <w:t>corporativas— es ampliamente soportada por Wi-Fi 5 (802.11ac) dual banda, que ofrece velocidades efectivas más que suficientes para todos los casos de uso.</w:t>
      </w:r>
    </w:p>
    <w:p w14:paraId="5CA75EDA"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La restricción al estándar Wi-Fi 6 como requisito mínimo excluye equipos de fabricantes de primer nivel mundial que incorporan chipsets Wi-Fi 5 dual banda de rendimiento superior, sin que ello represente una mejora funcional verificable para la entidad en el uso previsto del bien.</w:t>
      </w:r>
    </w:p>
    <w:p w14:paraId="1BEEBB25"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Especificación propuesta: 'Conectividad Wi-Fi dual banda (2.4 GHz y 5 GHz), estándar 802.11ac (Wi-Fi 5) o superior'.</w:t>
      </w:r>
    </w:p>
    <w:p w14:paraId="308E4E23" w14:textId="77777777" w:rsidR="00BE6367" w:rsidRDefault="00C90F6A">
      <w:pPr>
        <w:spacing w:before="80" w:after="120"/>
        <w:jc w:val="both"/>
        <w:rPr>
          <w:rFonts w:ascii="Arial" w:eastAsia="Arial" w:hAnsi="Arial" w:cs="Arial"/>
          <w:sz w:val="20"/>
          <w:szCs w:val="20"/>
        </w:rPr>
      </w:pPr>
      <w:r>
        <w:rPr>
          <w:rFonts w:ascii="Arial" w:eastAsia="Arial" w:hAnsi="Arial" w:cs="Arial"/>
          <w:b/>
          <w:bCs/>
          <w:color w:val="2E5F8A"/>
          <w:sz w:val="20"/>
          <w:szCs w:val="20"/>
        </w:rPr>
        <w:t xml:space="preserve">Solicitud: </w:t>
      </w:r>
      <w:r>
        <w:rPr>
          <w:rFonts w:ascii="Arial" w:eastAsia="Arial" w:hAnsi="Arial" w:cs="Arial"/>
          <w:sz w:val="20"/>
          <w:szCs w:val="20"/>
        </w:rPr>
        <w:t>Se solicita respetuosamente a la entidad estudiar la presente observación y ajustar el pliego de condiciones en consecuencia.</w:t>
      </w:r>
    </w:p>
    <w:p w14:paraId="5E586A6E" w14:textId="77777777" w:rsidR="00BE6367" w:rsidRDefault="00BE6367">
      <w:pPr>
        <w:spacing w:after="0"/>
        <w:jc w:val="both"/>
        <w:rPr>
          <w:rFonts w:ascii="Arial" w:eastAsia="Arial" w:hAnsi="Arial" w:cs="Arial"/>
          <w:b/>
          <w:bCs/>
          <w:sz w:val="20"/>
          <w:szCs w:val="20"/>
        </w:rPr>
      </w:pPr>
    </w:p>
    <w:p w14:paraId="00F7F660" w14:textId="77777777" w:rsidR="00BE6367" w:rsidRDefault="00C90F6A">
      <w:pPr>
        <w:spacing w:after="0"/>
        <w:jc w:val="both"/>
        <w:rPr>
          <w:rFonts w:ascii="Arial" w:eastAsia="Arial" w:hAnsi="Arial" w:cs="Arial"/>
          <w:b/>
          <w:bCs/>
          <w:sz w:val="20"/>
          <w:szCs w:val="20"/>
        </w:rPr>
      </w:pPr>
      <w:r>
        <w:rPr>
          <w:rFonts w:ascii="Arial" w:eastAsia="Arial" w:hAnsi="Arial" w:cs="Arial"/>
          <w:b/>
          <w:bCs/>
          <w:sz w:val="20"/>
          <w:szCs w:val="20"/>
        </w:rPr>
        <w:t>RESPUESTA A OBSERVACIÓN:</w:t>
      </w:r>
    </w:p>
    <w:p w14:paraId="43B37061" w14:textId="77777777" w:rsidR="00BE6367" w:rsidRDefault="00BE6367">
      <w:pPr>
        <w:spacing w:after="0"/>
        <w:jc w:val="both"/>
        <w:rPr>
          <w:rFonts w:ascii="Arial" w:eastAsia="Arial" w:hAnsi="Arial" w:cs="Arial"/>
          <w:b/>
          <w:bCs/>
          <w:sz w:val="20"/>
          <w:szCs w:val="20"/>
        </w:rPr>
      </w:pPr>
    </w:p>
    <w:p w14:paraId="55EB1939" w14:textId="77777777" w:rsidR="00BE6367" w:rsidRDefault="00C90F6A">
      <w:pPr>
        <w:spacing w:after="0"/>
        <w:jc w:val="both"/>
        <w:rPr>
          <w:rFonts w:ascii="Arial" w:eastAsia="Arial" w:hAnsi="Arial" w:cs="Arial"/>
          <w:sz w:val="20"/>
          <w:szCs w:val="20"/>
        </w:rPr>
      </w:pPr>
      <w:r>
        <w:rPr>
          <w:rFonts w:ascii="Arial" w:eastAsia="Arial" w:hAnsi="Arial" w:cs="Arial"/>
          <w:sz w:val="20"/>
          <w:szCs w:val="20"/>
        </w:rPr>
        <w:t>La Entidad acepta la observación. En aplicación del principio de libre concurrencia y selección objetiva consagrado en el artículo 5 de la Ley 1150 de 2007, y considerando que la funcionalidad requerida puede ser satisfecha por distintas tecnologías de conectividad inalámbrica, se modificará la ficha técnica para exigir “Wi-Fi de doble banda (2.4 GHz y 5 GHz) o superior”, en lugar de la referencia puntual a “Wi-Fi 6”.</w:t>
      </w:r>
    </w:p>
    <w:p w14:paraId="373378CC" w14:textId="77777777" w:rsidR="00BE6367" w:rsidRDefault="00BE6367">
      <w:pPr>
        <w:spacing w:after="0"/>
        <w:jc w:val="both"/>
        <w:rPr>
          <w:rFonts w:ascii="Arial" w:eastAsia="Arial" w:hAnsi="Arial" w:cs="Arial"/>
          <w:sz w:val="20"/>
          <w:szCs w:val="20"/>
        </w:rPr>
      </w:pPr>
    </w:p>
    <w:p w14:paraId="4CAE02D3" w14:textId="77777777" w:rsidR="00BE6367" w:rsidRDefault="00C90F6A">
      <w:pPr>
        <w:spacing w:after="0"/>
        <w:jc w:val="both"/>
        <w:rPr>
          <w:rFonts w:ascii="Arial" w:eastAsia="Arial" w:hAnsi="Arial" w:cs="Arial"/>
          <w:sz w:val="20"/>
          <w:szCs w:val="20"/>
        </w:rPr>
      </w:pPr>
      <w:r>
        <w:rPr>
          <w:rFonts w:ascii="Arial" w:eastAsia="Arial" w:hAnsi="Arial" w:cs="Arial"/>
          <w:sz w:val="20"/>
          <w:szCs w:val="20"/>
        </w:rPr>
        <w:t xml:space="preserve">Con el fin de preservar el estándar de desempeño requerido por la Entidad, el equipo ofertado deberá garantizar una conectividad estable y de alta velocidad, sin interrupciones que afecten su normal funcionamiento durante la operación del panel. </w:t>
      </w:r>
    </w:p>
    <w:p w14:paraId="4AAF34E4" w14:textId="77777777" w:rsidR="00BE6367" w:rsidRDefault="00BE6367">
      <w:pPr>
        <w:spacing w:after="0"/>
        <w:jc w:val="both"/>
        <w:rPr>
          <w:rFonts w:ascii="Arial" w:eastAsia="Arial" w:hAnsi="Arial" w:cs="Arial"/>
          <w:sz w:val="20"/>
          <w:szCs w:val="20"/>
        </w:rPr>
      </w:pPr>
    </w:p>
    <w:p w14:paraId="3E8CD94F" w14:textId="77777777" w:rsidR="00BE6367" w:rsidRDefault="00C90F6A">
      <w:pPr>
        <w:spacing w:after="0"/>
        <w:jc w:val="both"/>
        <w:rPr>
          <w:rFonts w:ascii="Arial" w:eastAsia="Arial" w:hAnsi="Arial" w:cs="Arial"/>
          <w:sz w:val="20"/>
          <w:szCs w:val="20"/>
        </w:rPr>
      </w:pPr>
      <w:r>
        <w:rPr>
          <w:rFonts w:ascii="Arial" w:eastAsia="Arial" w:hAnsi="Arial" w:cs="Arial"/>
          <w:sz w:val="20"/>
          <w:szCs w:val="20"/>
        </w:rPr>
        <w:t>En consecuencia, la ficha técnica será ajustada para reflejar el nuevo requerimiento, sin que ello implique una disminución del estándar funcional exigido por la Entidad.</w:t>
      </w:r>
    </w:p>
    <w:p w14:paraId="3C79744E" w14:textId="77777777" w:rsidR="00BE6367" w:rsidRDefault="00BE6367">
      <w:pPr>
        <w:spacing w:after="0"/>
        <w:jc w:val="both"/>
        <w:rPr>
          <w:rFonts w:ascii="Arial" w:eastAsia="Arial" w:hAnsi="Arial" w:cs="Arial"/>
          <w:b/>
          <w:bCs/>
          <w:sz w:val="20"/>
          <w:szCs w:val="20"/>
        </w:rPr>
      </w:pPr>
    </w:p>
    <w:p w14:paraId="1A6FAE8D" w14:textId="77777777" w:rsidR="00BE6367" w:rsidRDefault="00C90F6A">
      <w:pPr>
        <w:spacing w:before="160" w:after="40"/>
        <w:jc w:val="both"/>
        <w:rPr>
          <w:rFonts w:ascii="Arial" w:eastAsia="Arial" w:hAnsi="Arial" w:cs="Arial"/>
          <w:sz w:val="20"/>
          <w:szCs w:val="20"/>
        </w:rPr>
      </w:pPr>
      <w:r>
        <w:rPr>
          <w:rFonts w:ascii="Arial" w:eastAsia="Arial" w:hAnsi="Arial" w:cs="Arial"/>
          <w:b/>
          <w:bCs/>
          <w:color w:val="2E5F8A"/>
          <w:sz w:val="20"/>
          <w:szCs w:val="20"/>
        </w:rPr>
        <w:t xml:space="preserve">ACLARACIÓN No. 1.4: </w:t>
      </w:r>
      <w:r>
        <w:rPr>
          <w:rFonts w:ascii="Arial" w:eastAsia="Arial" w:hAnsi="Arial" w:cs="Arial"/>
          <w:b/>
          <w:bCs/>
          <w:color w:val="000000"/>
          <w:sz w:val="20"/>
          <w:szCs w:val="20"/>
        </w:rPr>
        <w:t>Declaración del ángulo de visión de la cámara (HFOV) — aclarar metodología de medición aceptada</w:t>
      </w:r>
    </w:p>
    <w:p w14:paraId="4988255F"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El pliego establece un HFOV (Horizontal Field of View) mínimo de 98° para la cámara integrada. Las fichas técnicas de cámaras integradas en pantallas interactivas, según la práctica de la industria, pueden declarar el ángulo de visión en tres formas: HFOV (horizontal), VFOV (vertical) o D-FOV (diagonal). Estos tres valores están matemáticamente relacionados y son equivalentes si se conoce la relación de aspecto del sensor.</w:t>
      </w:r>
    </w:p>
    <w:p w14:paraId="070E98AA"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Para un sensor con relación 16:9, un D-FOV de 136° equivale a un HFOV aproximado de 130°, que supera ampliamente el mínimo de 98° HFOV. Sin embargo, si el evaluador no aplica la conversión y lee el D-FOV como HFOV, llegaría a una conclusión incorrecta de incumplimiento.</w:t>
      </w:r>
    </w:p>
    <w:p w14:paraId="56035B7E" w14:textId="77777777" w:rsidR="00BE6367" w:rsidRDefault="00000000">
      <w:pPr>
        <w:spacing w:before="80" w:after="80"/>
        <w:jc w:val="both"/>
        <w:rPr>
          <w:rFonts w:ascii="Arial" w:eastAsia="Arial" w:hAnsi="Arial" w:cs="Arial"/>
          <w:sz w:val="20"/>
          <w:szCs w:val="20"/>
        </w:rPr>
      </w:pPr>
      <w:sdt>
        <w:sdtPr>
          <w:tag w:val="goog_rdk_0"/>
          <w:id w:val="-488873091"/>
        </w:sdtPr>
        <w:sdtContent>
          <w:r w:rsidR="00C90F6A">
            <w:rPr>
              <w:rFonts w:ascii="Arial Unicode MS" w:eastAsia="Arial Unicode MS" w:hAnsi="Arial Unicode MS" w:cs="Arial Unicode MS"/>
              <w:sz w:val="20"/>
              <w:szCs w:val="20"/>
            </w:rPr>
            <w:t>Aclaración solicitada: 'El ángulo de visión de la cámara podrá declararse como HFOV, VFOV o D-FOV (diagonal). Cuando se declare en D-FOV, el evaluador deberá calcular el HFOV equivalente considerando la relación de aspecto del sensor. El requisito mínimo es HFOV ≥ 98° o D-FOV ≥ 120° para sensores 16:9'.</w:t>
          </w:r>
        </w:sdtContent>
      </w:sdt>
    </w:p>
    <w:p w14:paraId="59D9D148" w14:textId="77777777" w:rsidR="00BE6367" w:rsidRDefault="00C90F6A">
      <w:pPr>
        <w:spacing w:before="80" w:after="120"/>
        <w:jc w:val="both"/>
        <w:rPr>
          <w:rFonts w:ascii="Arial" w:eastAsia="Arial" w:hAnsi="Arial" w:cs="Arial"/>
          <w:sz w:val="20"/>
          <w:szCs w:val="20"/>
        </w:rPr>
      </w:pPr>
      <w:r>
        <w:rPr>
          <w:rFonts w:ascii="Arial" w:eastAsia="Arial" w:hAnsi="Arial" w:cs="Arial"/>
          <w:b/>
          <w:bCs/>
          <w:color w:val="2E5F8A"/>
          <w:sz w:val="20"/>
          <w:szCs w:val="20"/>
        </w:rPr>
        <w:t xml:space="preserve">Solicitud: </w:t>
      </w:r>
      <w:r>
        <w:rPr>
          <w:rFonts w:ascii="Arial" w:eastAsia="Arial" w:hAnsi="Arial" w:cs="Arial"/>
          <w:sz w:val="20"/>
          <w:szCs w:val="20"/>
        </w:rPr>
        <w:t>Se solicita a la entidad precisar este punto mediante adenda para eliminar la ambigüedad y garantizar una evaluación objetiva y uniforme.</w:t>
      </w:r>
    </w:p>
    <w:p w14:paraId="143E8F33" w14:textId="77777777" w:rsidR="00BE6367" w:rsidRDefault="00BE6367">
      <w:pPr>
        <w:spacing w:before="80" w:after="120"/>
        <w:jc w:val="both"/>
        <w:rPr>
          <w:rFonts w:ascii="Arial" w:eastAsia="Arial" w:hAnsi="Arial" w:cs="Arial"/>
          <w:sz w:val="20"/>
          <w:szCs w:val="20"/>
        </w:rPr>
      </w:pPr>
    </w:p>
    <w:p w14:paraId="3F085B6A"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3EA7BAB7"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 xml:space="preserve">Se acepta la observación. La Entidad confirma que el ángulo de visión mínimo exigido en la ficha técnica corresponde a un HFOV (Horizontal Field of View) de 98°. No obstante, en atención a que la industria admite la declaración del ángulo de visión bajo distintas </w:t>
      </w:r>
      <w:r>
        <w:rPr>
          <w:rFonts w:ascii="Arial" w:eastAsia="Arial" w:hAnsi="Arial" w:cs="Arial"/>
          <w:sz w:val="20"/>
          <w:szCs w:val="20"/>
        </w:rPr>
        <w:lastRenderedPageBreak/>
        <w:t>convenciones de medición (HFOV, VFOV o D-FOV), y que dichos valores guardan una relación matemática determinable en función de la relación de aspecto del sensor de la cámara, se precisa lo siguiente:</w:t>
      </w:r>
    </w:p>
    <w:p w14:paraId="43B2C3B7"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El proponente podrá declarar el ángulo de visión de la cámara en HFOV, VFOV o D-FOV, según la ficha técnica del fabricante. Cuando el valor se declare en una unidad distinta a HFOV, el proponente deberá aportar, junto con su oferta, la memoria de cálculo con la certificación del fabricante que permita establecer el HFOV equivalente, considerando la relación de aspecto del sensor de la cámara ofertada. El comité evaluador verificará dicha equivalencia con base en la documentación aportada, exigiéndose en todo caso el cumplimiento de un HFOV mínimo de 98° o su equivalente en la unidad de medida declarada.</w:t>
      </w:r>
    </w:p>
    <w:p w14:paraId="3C0B1707" w14:textId="77777777" w:rsidR="00BE6367" w:rsidRDefault="00C90F6A">
      <w:pPr>
        <w:spacing w:before="160" w:after="40"/>
        <w:jc w:val="both"/>
        <w:rPr>
          <w:rFonts w:ascii="Arial" w:eastAsia="Arial" w:hAnsi="Arial" w:cs="Arial"/>
          <w:sz w:val="20"/>
          <w:szCs w:val="20"/>
        </w:rPr>
      </w:pPr>
      <w:r>
        <w:rPr>
          <w:rFonts w:ascii="Arial" w:eastAsia="Arial" w:hAnsi="Arial" w:cs="Arial"/>
          <w:b/>
          <w:bCs/>
          <w:color w:val="2E5F8A"/>
          <w:sz w:val="20"/>
          <w:szCs w:val="20"/>
        </w:rPr>
        <w:t xml:space="preserve">OBSERVACIÓN No. 1.5: </w:t>
      </w:r>
      <w:r>
        <w:rPr>
          <w:rFonts w:ascii="Arial" w:eastAsia="Arial" w:hAnsi="Arial" w:cs="Arial"/>
          <w:b/>
          <w:bCs/>
          <w:color w:val="000000"/>
          <w:sz w:val="20"/>
          <w:szCs w:val="20"/>
        </w:rPr>
        <w:t>Brillo mínimo 350 cd/m² — solicitar aceptación del valor típico de operación</w:t>
      </w:r>
    </w:p>
    <w:p w14:paraId="107F2F54"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El pliego establece un brillo mínimo de 350 cd/m². En las fichas técnicas de fabricantes de pantallas LCD con retroiluminación D-LED, es práctica estándar de la industria declarar dos valores: el mínimo garantizado de fabricación (tolerancia de producción) y el valor típico de operación normal. Un requisito de 'brillo mínimo 350 cd/m²' interpretado como valor mínimo absoluto excluye equipos cuyo valor típico es exactamente 350 cd/m².</w:t>
      </w:r>
    </w:p>
    <w:p w14:paraId="7A475D70" w14:textId="77777777" w:rsidR="00BE6367" w:rsidRDefault="00000000">
      <w:pPr>
        <w:spacing w:before="80" w:after="80"/>
        <w:jc w:val="both"/>
        <w:rPr>
          <w:rFonts w:ascii="Arial" w:eastAsia="Arial" w:hAnsi="Arial" w:cs="Arial"/>
          <w:sz w:val="20"/>
          <w:szCs w:val="20"/>
        </w:rPr>
      </w:pPr>
      <w:sdt>
        <w:sdtPr>
          <w:tag w:val="goog_rdk_1"/>
          <w:id w:val="-400041431"/>
        </w:sdtPr>
        <w:sdtContent>
          <w:r w:rsidR="00C90F6A">
            <w:rPr>
              <w:rFonts w:ascii="Arial Unicode MS" w:eastAsia="Arial Unicode MS" w:hAnsi="Arial Unicode MS" w:cs="Arial Unicode MS"/>
              <w:sz w:val="20"/>
              <w:szCs w:val="20"/>
            </w:rPr>
            <w:t>Especificación propuesta: 'Brillo típico de operación ≥ 350 cd/m² (según ficha técnica del fabricante)'.</w:t>
          </w:r>
        </w:sdtContent>
      </w:sdt>
    </w:p>
    <w:p w14:paraId="1ED88D2C" w14:textId="77777777" w:rsidR="00BE6367" w:rsidRDefault="00C90F6A">
      <w:pPr>
        <w:spacing w:before="80" w:after="120"/>
        <w:jc w:val="both"/>
        <w:rPr>
          <w:rFonts w:ascii="Arial" w:eastAsia="Arial" w:hAnsi="Arial" w:cs="Arial"/>
          <w:sz w:val="20"/>
          <w:szCs w:val="20"/>
        </w:rPr>
      </w:pPr>
      <w:r>
        <w:rPr>
          <w:rFonts w:ascii="Arial" w:eastAsia="Arial" w:hAnsi="Arial" w:cs="Arial"/>
          <w:b/>
          <w:bCs/>
          <w:color w:val="2E5F8A"/>
          <w:sz w:val="20"/>
          <w:szCs w:val="20"/>
        </w:rPr>
        <w:t xml:space="preserve">Solicitud: </w:t>
      </w:r>
      <w:r>
        <w:rPr>
          <w:rFonts w:ascii="Arial" w:eastAsia="Arial" w:hAnsi="Arial" w:cs="Arial"/>
          <w:sz w:val="20"/>
          <w:szCs w:val="20"/>
        </w:rPr>
        <w:t>Se solicita respetuosamente a la entidad estudiar la presente observación y ajustar el pliego de condiciones en consecuencia.</w:t>
      </w:r>
    </w:p>
    <w:p w14:paraId="74AC91A5" w14:textId="77777777" w:rsidR="00BE6367" w:rsidRDefault="00BE6367">
      <w:pPr>
        <w:spacing w:before="80" w:after="120"/>
        <w:jc w:val="both"/>
        <w:rPr>
          <w:rFonts w:ascii="Arial" w:eastAsia="Arial" w:hAnsi="Arial" w:cs="Arial"/>
          <w:sz w:val="20"/>
          <w:szCs w:val="20"/>
        </w:rPr>
      </w:pPr>
    </w:p>
    <w:p w14:paraId="1B5C5DC8"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4186786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acepta la observación. La Entidad precisa que el requisito de "brillo mínimo 350 cd/m²" establecido en la ficha técnica se entenderá satisfecho cuando el valor declarado corresponda al brillo típico de operación del equipo, conforme a la ficha técnica oficial del fabricante, en atención a que dicho valor constituye la referencia estándar de desempeño bajo condiciones normales de funcionamiento, práctica reconocida en la industria de pantallas LCD con retroiluminación D-LED.</w:t>
      </w:r>
    </w:p>
    <w:p w14:paraId="5EC6E55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el proponente deberá acreditar el cumplimiento de este requisito mediante la ficha técnica del fabricante, en la cual conste de manera expresa el valor de brillo típico de operación del equipo ofertado, el cual deberá ser igual o superior a 350 cd/m².</w:t>
      </w:r>
    </w:p>
    <w:p w14:paraId="0F58D1C3" w14:textId="77777777" w:rsidR="00BE6367" w:rsidRDefault="00BE6367">
      <w:pPr>
        <w:spacing w:before="80" w:after="120"/>
        <w:jc w:val="both"/>
        <w:rPr>
          <w:rFonts w:ascii="Arial" w:eastAsia="Arial" w:hAnsi="Arial" w:cs="Arial"/>
          <w:sz w:val="20"/>
          <w:szCs w:val="20"/>
        </w:rPr>
      </w:pPr>
    </w:p>
    <w:p w14:paraId="5D73DE2F" w14:textId="77777777" w:rsidR="00BE6367" w:rsidRDefault="00C90F6A">
      <w:pPr>
        <w:spacing w:before="160" w:after="40"/>
        <w:jc w:val="both"/>
        <w:rPr>
          <w:rFonts w:ascii="Arial" w:eastAsia="Arial" w:hAnsi="Arial" w:cs="Arial"/>
          <w:sz w:val="20"/>
          <w:szCs w:val="20"/>
        </w:rPr>
      </w:pPr>
      <w:r>
        <w:rPr>
          <w:rFonts w:ascii="Arial" w:eastAsia="Arial" w:hAnsi="Arial" w:cs="Arial"/>
          <w:b/>
          <w:bCs/>
          <w:color w:val="2E5F8A"/>
          <w:sz w:val="20"/>
          <w:szCs w:val="20"/>
        </w:rPr>
        <w:t xml:space="preserve">ACLARACIÓN No. 1.6: </w:t>
      </w:r>
      <w:r>
        <w:rPr>
          <w:rFonts w:ascii="Arial" w:eastAsia="Arial" w:hAnsi="Arial" w:cs="Arial"/>
          <w:b/>
          <w:bCs/>
          <w:color w:val="000000"/>
          <w:sz w:val="20"/>
          <w:szCs w:val="20"/>
        </w:rPr>
        <w:t>Función de IA 'Smart Framing' — aclarar denominación técnica equivalente aceptada</w:t>
      </w:r>
    </w:p>
    <w:p w14:paraId="411FA1B1"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El pliego exige la función de IA denominada 'Smart Framing'. Este término es una denominación comercial utilizada por algunos fabricantes para describir la función de encuadre automático inteligente de personas mediante IA (también llamada 'seguimiento automático', 'encuadre inteligente', 'auto-framing' o 'intelligent tracking' según el fabricante). La funcionalidad es idéntica independientemente del nombre comercial: detección de personas y ajuste automático del cuadre de la cámara mediante IA.</w:t>
      </w:r>
    </w:p>
    <w:p w14:paraId="758ADD5D"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 xml:space="preserve">Aclaración solicitada: 'La función de IA denominada Smart Framing se entenderá cumplida por cualquier solución de encuadre automático inteligente de personas mediante inteligencia </w:t>
      </w:r>
      <w:r>
        <w:rPr>
          <w:rFonts w:ascii="Arial" w:eastAsia="Arial" w:hAnsi="Arial" w:cs="Arial"/>
          <w:sz w:val="20"/>
          <w:szCs w:val="20"/>
        </w:rPr>
        <w:lastRenderedPageBreak/>
        <w:t>artificial integrada en el equipo, independientemente de su denominación comercial, certificada por el fabricante en la carta de respaldo'.</w:t>
      </w:r>
    </w:p>
    <w:p w14:paraId="6B5B1F5C" w14:textId="77777777" w:rsidR="00BE6367" w:rsidRDefault="00C90F6A">
      <w:pPr>
        <w:spacing w:before="80" w:after="120"/>
        <w:jc w:val="both"/>
        <w:rPr>
          <w:rFonts w:ascii="Arial" w:eastAsia="Arial" w:hAnsi="Arial" w:cs="Arial"/>
          <w:sz w:val="20"/>
          <w:szCs w:val="20"/>
        </w:rPr>
      </w:pPr>
      <w:r>
        <w:rPr>
          <w:rFonts w:ascii="Arial" w:eastAsia="Arial" w:hAnsi="Arial" w:cs="Arial"/>
          <w:b/>
          <w:bCs/>
          <w:color w:val="2E5F8A"/>
          <w:sz w:val="20"/>
          <w:szCs w:val="20"/>
        </w:rPr>
        <w:t xml:space="preserve">Solicitud: </w:t>
      </w:r>
      <w:r>
        <w:rPr>
          <w:rFonts w:ascii="Arial" w:eastAsia="Arial" w:hAnsi="Arial" w:cs="Arial"/>
          <w:sz w:val="20"/>
          <w:szCs w:val="20"/>
        </w:rPr>
        <w:t>Se solicita a la entidad precisar este punto mediante adenda para eliminar la ambigüedad y garantizar una evaluación objetiva y uniforme.</w:t>
      </w:r>
    </w:p>
    <w:p w14:paraId="21CEFFE3" w14:textId="77777777" w:rsidR="00BE6367" w:rsidRDefault="00BE6367">
      <w:pPr>
        <w:spacing w:before="80" w:after="120"/>
        <w:jc w:val="both"/>
        <w:rPr>
          <w:rFonts w:ascii="Arial" w:eastAsia="Arial" w:hAnsi="Arial" w:cs="Arial"/>
          <w:sz w:val="20"/>
          <w:szCs w:val="20"/>
        </w:rPr>
      </w:pPr>
    </w:p>
    <w:p w14:paraId="1D3B7DDC"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0E5824F6" w14:textId="77777777" w:rsidR="00BE6367" w:rsidRDefault="00BE6367">
      <w:pPr>
        <w:jc w:val="both"/>
        <w:rPr>
          <w:rFonts w:ascii="Arial" w:eastAsia="Arial" w:hAnsi="Arial" w:cs="Arial"/>
          <w:sz w:val="20"/>
          <w:szCs w:val="20"/>
        </w:rPr>
      </w:pPr>
    </w:p>
    <w:p w14:paraId="668EA225" w14:textId="77777777" w:rsidR="00BE6367" w:rsidRDefault="00C90F6A">
      <w:pPr>
        <w:jc w:val="both"/>
        <w:rPr>
          <w:rFonts w:ascii="Arial" w:eastAsia="Arial" w:hAnsi="Arial" w:cs="Arial"/>
          <w:sz w:val="20"/>
          <w:szCs w:val="20"/>
        </w:rPr>
      </w:pPr>
      <w:r>
        <w:rPr>
          <w:rFonts w:ascii="Arial" w:eastAsia="Arial" w:hAnsi="Arial" w:cs="Arial"/>
          <w:sz w:val="20"/>
          <w:szCs w:val="20"/>
        </w:rPr>
        <w:t>Se acepta la observación. En aplicación de los principios de libre concurrencia y selección objetiva (art. 5 Ley 1150 de 2007), la Entidad admitirá la acreditación de la funcionalidad de encuadre automático mediante inteligencia artificial bajo cualquiera de las siguientes denominaciones comerciales, siempre que el proponente demuestre que cumplen la misma finalidad funcional exigida para “Smart Framing”: Auto Framing, AI Framing, Intelligent Framing, Speaker Tracking, Presenter Tracking, o tecnologías equivalentes que el proponente acredite mediante ficha técnica del fabricante.</w:t>
      </w:r>
    </w:p>
    <w:p w14:paraId="08EF48CD" w14:textId="77777777" w:rsidR="00BE6367" w:rsidRDefault="00C90F6A">
      <w:pPr>
        <w:jc w:val="both"/>
        <w:rPr>
          <w:rFonts w:ascii="Arial" w:eastAsia="Arial" w:hAnsi="Arial" w:cs="Arial"/>
          <w:sz w:val="20"/>
          <w:szCs w:val="20"/>
        </w:rPr>
      </w:pPr>
      <w:r>
        <w:rPr>
          <w:rFonts w:ascii="Arial" w:eastAsia="Arial" w:hAnsi="Arial" w:cs="Arial"/>
          <w:sz w:val="20"/>
          <w:szCs w:val="20"/>
        </w:rPr>
        <w:t>La acreditación de la equivalencia funcional deberá efectuarse mediante la documentación técnica oficial del fabricante, en la que conste que la tecnología ofertada realiza el seguimiento y encuadre automático de la persona u objeto en escena, sin intervención manual del operador.</w:t>
      </w:r>
    </w:p>
    <w:p w14:paraId="5EC88E67" w14:textId="77777777" w:rsidR="00BE6367" w:rsidRDefault="00C90F6A">
      <w:pPr>
        <w:jc w:val="both"/>
        <w:rPr>
          <w:rFonts w:ascii="Arial" w:eastAsia="Arial" w:hAnsi="Arial" w:cs="Arial"/>
          <w:b/>
          <w:bCs/>
          <w:sz w:val="20"/>
          <w:szCs w:val="20"/>
        </w:rPr>
      </w:pPr>
      <w:r>
        <w:rPr>
          <w:rFonts w:ascii="Arial" w:eastAsia="Arial" w:hAnsi="Arial" w:cs="Arial"/>
          <w:sz w:val="20"/>
          <w:szCs w:val="20"/>
        </w:rPr>
        <w:t>En consecuencia, la ficha técnica será ajustada para reflejar que el requisito se entenderá satisfecho con cualquiera de las tecnologías anteriormente enunciadas o sus equivalentes funcionales debidamente acreditados.</w:t>
      </w:r>
    </w:p>
    <w:p w14:paraId="4F0BEC85" w14:textId="77777777" w:rsidR="00BE6367" w:rsidRDefault="00BE6367">
      <w:pPr>
        <w:spacing w:before="80" w:after="120"/>
        <w:jc w:val="both"/>
        <w:rPr>
          <w:rFonts w:ascii="Arial" w:eastAsia="Arial" w:hAnsi="Arial" w:cs="Arial"/>
          <w:sz w:val="20"/>
          <w:szCs w:val="20"/>
        </w:rPr>
      </w:pPr>
    </w:p>
    <w:p w14:paraId="177D81C3" w14:textId="77777777" w:rsidR="00BE6367" w:rsidRDefault="00C90F6A">
      <w:pPr>
        <w:spacing w:before="160" w:after="40"/>
        <w:jc w:val="both"/>
        <w:rPr>
          <w:rFonts w:ascii="Arial" w:eastAsia="Arial" w:hAnsi="Arial" w:cs="Arial"/>
          <w:sz w:val="20"/>
          <w:szCs w:val="20"/>
        </w:rPr>
      </w:pPr>
      <w:r>
        <w:rPr>
          <w:rFonts w:ascii="Arial" w:eastAsia="Arial" w:hAnsi="Arial" w:cs="Arial"/>
          <w:b/>
          <w:bCs/>
          <w:color w:val="2E5F8A"/>
          <w:sz w:val="20"/>
          <w:szCs w:val="20"/>
        </w:rPr>
        <w:t xml:space="preserve">OBSERVACIÓN No. 1.7: </w:t>
      </w:r>
      <w:r>
        <w:rPr>
          <w:rFonts w:ascii="Arial" w:eastAsia="Arial" w:hAnsi="Arial" w:cs="Arial"/>
          <w:b/>
          <w:bCs/>
          <w:color w:val="000000"/>
          <w:sz w:val="20"/>
          <w:szCs w:val="20"/>
        </w:rPr>
        <w:t>Puertos USB-A 2.0 ×3 — Solicitar interpretación inclusiva de USB 3.0</w:t>
      </w:r>
    </w:p>
    <w:p w14:paraId="44E7C857"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El pliego exige un mínimo de 3 puertos USB-A versión 2.0. El estándar USB 3.0 (USB 3.2 Gen 1) es completamente retrocompatible con USB 2.0 a nivel físico, eléctrico y de protocolo, según las especificaciones del USB Implementers Forum (USB-IF). Un dispositivo USB 2.0 conectado a un puerto USB 3.0 opera con plena compatibilidad. Los equipos de última generación incorporan puertos USB 3.0 en lugar de USB 2.0, representando una mejora para el usuario final sin pérdida alguna de compatibilidad.</w:t>
      </w:r>
    </w:p>
    <w:p w14:paraId="0AFD9BC8"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Especificación propuesta: 'Mínimo 3 puertos USB-A, versión 2.0 o superior'.</w:t>
      </w:r>
    </w:p>
    <w:p w14:paraId="3E4E09E5" w14:textId="77777777" w:rsidR="00BE6367" w:rsidRDefault="00C90F6A">
      <w:pPr>
        <w:spacing w:before="80" w:after="120"/>
        <w:jc w:val="both"/>
        <w:rPr>
          <w:rFonts w:ascii="Arial" w:eastAsia="Arial" w:hAnsi="Arial" w:cs="Arial"/>
          <w:sz w:val="20"/>
          <w:szCs w:val="20"/>
        </w:rPr>
      </w:pPr>
      <w:r>
        <w:rPr>
          <w:rFonts w:ascii="Arial" w:eastAsia="Arial" w:hAnsi="Arial" w:cs="Arial"/>
          <w:b/>
          <w:bCs/>
          <w:color w:val="2E5F8A"/>
          <w:sz w:val="20"/>
          <w:szCs w:val="20"/>
        </w:rPr>
        <w:t xml:space="preserve">Solicitud: </w:t>
      </w:r>
      <w:r>
        <w:rPr>
          <w:rFonts w:ascii="Arial" w:eastAsia="Arial" w:hAnsi="Arial" w:cs="Arial"/>
          <w:sz w:val="20"/>
          <w:szCs w:val="20"/>
        </w:rPr>
        <w:t>Se solicita respetuosamente a la entidad estudiar la presente observación y ajustar el pliego de condiciones en consecuencia.</w:t>
      </w:r>
    </w:p>
    <w:p w14:paraId="52DE5F8C" w14:textId="77777777" w:rsidR="00BE6367" w:rsidRDefault="00BE6367">
      <w:pPr>
        <w:spacing w:before="80" w:after="120"/>
        <w:jc w:val="both"/>
        <w:rPr>
          <w:rFonts w:ascii="Arial" w:eastAsia="Arial" w:hAnsi="Arial" w:cs="Arial"/>
          <w:sz w:val="20"/>
          <w:szCs w:val="20"/>
        </w:rPr>
      </w:pPr>
    </w:p>
    <w:p w14:paraId="38045108"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18A56B36"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acepta la observación. En atención a que el estándar USB 3.0 (USB 3.2 Gen 1) es plenamente retrocompatible con USB 2.0 a nivel físico, eléctrico y de protocolo, conforme a las especificaciones técnicas del USB Implementers Forum (USB-IF), y a que dicha retrocompatibilidad garantiza el pleno funcionamiento de cualquier dispositivo periférico USB 2.0 en un puerto de versión superior, la Entidad ajustará la ficha técnica para exigir "mínimo 3 puertos USB-A, versión 2.0 o superior", en lugar de la referencia exclusiva a la versión 2.0.</w:t>
      </w:r>
    </w:p>
    <w:p w14:paraId="1D0EBF26"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 xml:space="preserve">Esta modificación no implica una disminución del estándar funcional requerido por la Entidad, sino la admisión de una tecnología de mayor prestación y plenamente compatible con la exigida </w:t>
      </w:r>
      <w:r>
        <w:rPr>
          <w:rFonts w:ascii="Arial" w:eastAsia="Arial" w:hAnsi="Arial" w:cs="Arial"/>
          <w:sz w:val="20"/>
          <w:szCs w:val="20"/>
        </w:rPr>
        <w:lastRenderedPageBreak/>
        <w:t>originalmente, en beneficio de la pluralidad de oferentes y de la actualización tecnológica del bien contratado.</w:t>
      </w:r>
    </w:p>
    <w:p w14:paraId="59C7E80C"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ficha técnica será ajustada en los términos aquí señalados.</w:t>
      </w:r>
    </w:p>
    <w:p w14:paraId="651E0CFE" w14:textId="77777777" w:rsidR="00BE6367" w:rsidRDefault="00BE6367">
      <w:pPr>
        <w:spacing w:before="80" w:after="120"/>
        <w:jc w:val="both"/>
        <w:rPr>
          <w:rFonts w:ascii="Arial" w:eastAsia="Arial" w:hAnsi="Arial" w:cs="Arial"/>
          <w:sz w:val="20"/>
          <w:szCs w:val="20"/>
        </w:rPr>
      </w:pPr>
    </w:p>
    <w:p w14:paraId="4CE5570C" w14:textId="77777777" w:rsidR="00BE6367" w:rsidRDefault="00C90F6A">
      <w:pPr>
        <w:pBdr>
          <w:bottom w:val="single" w:sz="4" w:space="2" w:color="2E5F8A"/>
        </w:pBdr>
        <w:spacing w:before="160" w:after="40"/>
        <w:jc w:val="both"/>
        <w:rPr>
          <w:rFonts w:ascii="Arial" w:eastAsia="Arial" w:hAnsi="Arial" w:cs="Arial"/>
          <w:sz w:val="20"/>
          <w:szCs w:val="20"/>
        </w:rPr>
      </w:pPr>
      <w:r>
        <w:rPr>
          <w:rFonts w:ascii="Arial" w:eastAsia="Arial" w:hAnsi="Arial" w:cs="Arial"/>
          <w:b/>
          <w:bCs/>
          <w:color w:val="2E5F8A"/>
          <w:sz w:val="20"/>
          <w:szCs w:val="20"/>
        </w:rPr>
        <w:t>ÍTEM: PANTALLA INTERACTIVA 136" LED PLEGABLE — SIBOL 44320</w:t>
      </w:r>
    </w:p>
    <w:p w14:paraId="15493AFB" w14:textId="77777777" w:rsidR="00BE6367" w:rsidRDefault="00C90F6A">
      <w:pPr>
        <w:spacing w:before="160" w:after="40"/>
        <w:jc w:val="both"/>
        <w:rPr>
          <w:rFonts w:ascii="Arial" w:eastAsia="Arial" w:hAnsi="Arial" w:cs="Arial"/>
          <w:sz w:val="20"/>
          <w:szCs w:val="20"/>
        </w:rPr>
      </w:pPr>
      <w:r>
        <w:rPr>
          <w:rFonts w:ascii="Arial" w:eastAsia="Arial" w:hAnsi="Arial" w:cs="Arial"/>
          <w:b/>
          <w:bCs/>
          <w:color w:val="2E5F8A"/>
          <w:sz w:val="20"/>
          <w:szCs w:val="20"/>
        </w:rPr>
        <w:t xml:space="preserve">OBSERVACIÓN No. 2.1: </w:t>
      </w:r>
      <w:r>
        <w:rPr>
          <w:rFonts w:ascii="Arial" w:eastAsia="Arial" w:hAnsi="Arial" w:cs="Arial"/>
          <w:b/>
          <w:bCs/>
          <w:color w:val="000000"/>
          <w:sz w:val="20"/>
          <w:szCs w:val="20"/>
        </w:rPr>
        <w:t>Tecnología de panel FLIP CHIP COB — Solicitar aceptación de SMD con recubrimiento GOB</w:t>
      </w:r>
    </w:p>
    <w:p w14:paraId="35687DEF"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El pliego exige que el panel LED del videowall plegable sea de tecnología 'FLIP CHIP COB' (Chip On Board). SMD (Surface Mounted Device) con recubrimiento GOB (Glue-on-Board) es el estándar actual en videowalls LED plegables portátiles de uso profesional: el recubrimiento GOB aplica una resina epoxi sobre los LEDs SMD que los protege contra impacto, polvo, humedad y manipulación, alcanzando niveles de protección IP equivalentes o superiores a los paneles COB.</w:t>
      </w:r>
    </w:p>
    <w:p w14:paraId="04B40FFF"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La especificación 'FLIP CHIP COB', sin aceptar tecnologías equivalentes, restringe artificialmente la participación a fabricantes que usen específicamente esa tecnología de montaje, ignorando que SMD+GOB cumple el mismo propósito funcional de durabilidad y protección.</w:t>
      </w:r>
    </w:p>
    <w:p w14:paraId="0AD658C5"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Especificación propuesta: 'Panel LED con protección superficial integrada (GOB-Glue on Board, COB-Chip On Board o tecnología equivalente certificada por el fabricante que garantice protección contra impacto y polvo)'.</w:t>
      </w:r>
    </w:p>
    <w:p w14:paraId="5C183AB5" w14:textId="77777777" w:rsidR="00BE6367" w:rsidRDefault="00C90F6A">
      <w:pPr>
        <w:spacing w:before="80" w:after="120"/>
        <w:jc w:val="both"/>
        <w:rPr>
          <w:rFonts w:ascii="Arial" w:eastAsia="Arial" w:hAnsi="Arial" w:cs="Arial"/>
          <w:sz w:val="20"/>
          <w:szCs w:val="20"/>
        </w:rPr>
      </w:pPr>
      <w:r>
        <w:rPr>
          <w:rFonts w:ascii="Arial" w:eastAsia="Arial" w:hAnsi="Arial" w:cs="Arial"/>
          <w:b/>
          <w:bCs/>
          <w:color w:val="2E5F8A"/>
          <w:sz w:val="20"/>
          <w:szCs w:val="20"/>
        </w:rPr>
        <w:t xml:space="preserve">Solicitud: </w:t>
      </w:r>
      <w:r>
        <w:rPr>
          <w:rFonts w:ascii="Arial" w:eastAsia="Arial" w:hAnsi="Arial" w:cs="Arial"/>
          <w:sz w:val="20"/>
          <w:szCs w:val="20"/>
        </w:rPr>
        <w:t>Se solicita respetuosamente a la entidad estudiar la presente observación y ajustar el pliego de condiciones en consecuencia.</w:t>
      </w:r>
    </w:p>
    <w:p w14:paraId="289113FD" w14:textId="77777777" w:rsidR="00BE6367" w:rsidRDefault="00BE6367">
      <w:pPr>
        <w:spacing w:before="80" w:after="120"/>
        <w:jc w:val="both"/>
        <w:rPr>
          <w:rFonts w:ascii="Arial" w:eastAsia="Arial" w:hAnsi="Arial" w:cs="Arial"/>
          <w:sz w:val="20"/>
          <w:szCs w:val="20"/>
        </w:rPr>
      </w:pPr>
    </w:p>
    <w:p w14:paraId="60B88968"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227C32F9"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acepta la observación. La Entidad considera que la finalidad perseguida con la exigencia de tecnología "FLIP CHIP COB" es garantizar un adecuado nivel de protección del panel LED contra impacto, polvo y humedad, propio del uso itinerante y de manipulación frecuente característico de los videowalls plegables portátiles, y no la imposición de una tecnología de montaje específica. En consecuencia, se admitirá la tecnología SMD con recubrimiento GOB (Glue-on-Board), COB (Chip On Board), o cualquier otra tecnología equivalente, siempre que el proponente acredite, mediante certificación o ficha técnica del fabricante, un grado de protección IP igual o superior al exigido para garantizar la resistencia del panel frente a impacto, polvo y humedad en condiciones de uso e instalación itinerante.</w:t>
      </w:r>
    </w:p>
    <w:p w14:paraId="11BC4C48"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ficha técnica será ajustada para exigir "panel LED con protección superficial integrada (GOB, COB o tecnología equivalente), que garantice un grado de protección IP 40 o superior, certificado por el fabricante", en lugar de la referencia exclusiva a la tecnología "FLIP CHIP COB".</w:t>
      </w:r>
    </w:p>
    <w:p w14:paraId="7FC7271E" w14:textId="77777777" w:rsidR="00BE6367" w:rsidRDefault="00C90F6A">
      <w:pPr>
        <w:spacing w:before="160" w:after="40"/>
        <w:jc w:val="both"/>
        <w:rPr>
          <w:rFonts w:ascii="Arial" w:eastAsia="Arial" w:hAnsi="Arial" w:cs="Arial"/>
          <w:sz w:val="20"/>
          <w:szCs w:val="20"/>
        </w:rPr>
      </w:pPr>
      <w:r>
        <w:rPr>
          <w:rFonts w:ascii="Arial" w:eastAsia="Arial" w:hAnsi="Arial" w:cs="Arial"/>
          <w:b/>
          <w:bCs/>
          <w:color w:val="2E5F8A"/>
          <w:sz w:val="20"/>
          <w:szCs w:val="20"/>
        </w:rPr>
        <w:t xml:space="preserve">OBSERVACIÓN No. 2.2: </w:t>
      </w:r>
      <w:r>
        <w:rPr>
          <w:rFonts w:ascii="Arial" w:eastAsia="Arial" w:hAnsi="Arial" w:cs="Arial"/>
          <w:b/>
          <w:bCs/>
          <w:color w:val="000000"/>
          <w:sz w:val="20"/>
          <w:szCs w:val="20"/>
        </w:rPr>
        <w:t>Requisito Wi-Fi versión 6 (802.11ax) en videowall LED plegable — Ajuste a versión 5 o superior</w:t>
      </w:r>
    </w:p>
    <w:p w14:paraId="1634963F"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 xml:space="preserve">El pliego exige conectividad Wi-Fi versión 6 (802.11ax) en el videowall LED plegable de 136". Este equipo opera con Android 9.0 como sistema operativo integrado (requisito mínimo del propio pliego). Android 9.0 fue lanzado en 2018, previo a la generalización de Wi-Fi 6 </w:t>
      </w:r>
      <w:r>
        <w:rPr>
          <w:rFonts w:ascii="Arial" w:eastAsia="Arial" w:hAnsi="Arial" w:cs="Arial"/>
          <w:sz w:val="20"/>
          <w:szCs w:val="20"/>
        </w:rPr>
        <w:lastRenderedPageBreak/>
        <w:t>(802.11ax), y los chipsets integrados en controladoras de videowalls LED con Android 9.0 soportan hasta Wi-Fi 5 (802.11ac) dual banda.</w:t>
      </w:r>
    </w:p>
    <w:p w14:paraId="7A74BB89"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Para el uso previsto del equipo —señalización, presentaciones y transmisión de contenido— Wi-Fi 5 dual banda es técnicamente suficiente: permite streaming de contenido Full HD y conexión estable a redes corporativas sin restricción funcional. Exigir Wi-Fi 6 en un equipo con SO Android 9.0 crea una incompatibilidad técnica de facto que restringe artificialmente la participación.</w:t>
      </w:r>
    </w:p>
    <w:p w14:paraId="6B4B7000"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Especificación propuesta: 'Conectividad Wi-Fi dual banda (2.4 GHz y 5 GHz), versión 802.11ac (Wi-Fi 5) o superior'.</w:t>
      </w:r>
    </w:p>
    <w:p w14:paraId="4814AC4E" w14:textId="77777777" w:rsidR="00BE6367" w:rsidRDefault="00C90F6A">
      <w:pPr>
        <w:spacing w:before="80" w:after="120"/>
        <w:jc w:val="both"/>
        <w:rPr>
          <w:rFonts w:ascii="Arial" w:eastAsia="Arial" w:hAnsi="Arial" w:cs="Arial"/>
          <w:sz w:val="20"/>
          <w:szCs w:val="20"/>
        </w:rPr>
      </w:pPr>
      <w:r>
        <w:rPr>
          <w:rFonts w:ascii="Arial" w:eastAsia="Arial" w:hAnsi="Arial" w:cs="Arial"/>
          <w:b/>
          <w:bCs/>
          <w:color w:val="2E5F8A"/>
          <w:sz w:val="20"/>
          <w:szCs w:val="20"/>
        </w:rPr>
        <w:t xml:space="preserve">Solicitud: </w:t>
      </w:r>
      <w:r>
        <w:rPr>
          <w:rFonts w:ascii="Arial" w:eastAsia="Arial" w:hAnsi="Arial" w:cs="Arial"/>
          <w:sz w:val="20"/>
          <w:szCs w:val="20"/>
        </w:rPr>
        <w:t>Se solicita respetuosamente a la entidad estudiar la presente observación y ajustar el pliego de condiciones en consecuencia.</w:t>
      </w:r>
    </w:p>
    <w:p w14:paraId="5C23135C" w14:textId="77777777" w:rsidR="00BE6367" w:rsidRDefault="00BE6367">
      <w:pPr>
        <w:spacing w:before="80" w:after="120"/>
        <w:jc w:val="both"/>
        <w:rPr>
          <w:rFonts w:ascii="Arial" w:eastAsia="Arial" w:hAnsi="Arial" w:cs="Arial"/>
          <w:sz w:val="20"/>
          <w:szCs w:val="20"/>
        </w:rPr>
      </w:pPr>
    </w:p>
    <w:p w14:paraId="48AAA742"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55DF6BF6" w14:textId="77777777" w:rsidR="00BE6367" w:rsidRDefault="00BE6367">
      <w:pPr>
        <w:spacing w:before="80" w:after="120"/>
        <w:jc w:val="both"/>
        <w:rPr>
          <w:rFonts w:ascii="Arial" w:eastAsia="Arial" w:hAnsi="Arial" w:cs="Arial"/>
          <w:sz w:val="20"/>
          <w:szCs w:val="20"/>
        </w:rPr>
      </w:pPr>
    </w:p>
    <w:p w14:paraId="773DA62A" w14:textId="77777777" w:rsidR="00BE6367" w:rsidRDefault="00C90F6A">
      <w:pPr>
        <w:spacing w:after="0"/>
        <w:jc w:val="both"/>
        <w:rPr>
          <w:rFonts w:ascii="Arial" w:eastAsia="Arial" w:hAnsi="Arial" w:cs="Arial"/>
          <w:sz w:val="20"/>
          <w:szCs w:val="20"/>
        </w:rPr>
      </w:pPr>
      <w:r>
        <w:rPr>
          <w:rFonts w:ascii="Arial" w:eastAsia="Arial" w:hAnsi="Arial" w:cs="Arial"/>
          <w:sz w:val="20"/>
          <w:szCs w:val="20"/>
        </w:rPr>
        <w:t>La Entidad acepta la observación. En aplicación del principio de libre concurrencia y selección objetiva consagrado en el artículo 5 de la Ley 1150 de 2007, y considerando que la funcionalidad requerida puede ser satisfecha por distintas tecnologías de conectividad inalámbrica, se modificará la ficha técnica para exigir “Wi-Fi de doble banda (2.4 GHz y 5 GHz) o superior”, en lugar de la referencia puntual a “Wi-Fi 6”.</w:t>
      </w:r>
    </w:p>
    <w:p w14:paraId="131C8562" w14:textId="77777777" w:rsidR="00BE6367" w:rsidRDefault="00BE6367">
      <w:pPr>
        <w:spacing w:after="0"/>
        <w:jc w:val="both"/>
        <w:rPr>
          <w:rFonts w:ascii="Arial" w:eastAsia="Arial" w:hAnsi="Arial" w:cs="Arial"/>
          <w:sz w:val="20"/>
          <w:szCs w:val="20"/>
        </w:rPr>
      </w:pPr>
    </w:p>
    <w:p w14:paraId="4835B846" w14:textId="77777777" w:rsidR="00BE6367" w:rsidRDefault="00C90F6A">
      <w:pPr>
        <w:spacing w:after="0"/>
        <w:jc w:val="both"/>
        <w:rPr>
          <w:rFonts w:ascii="Arial" w:eastAsia="Arial" w:hAnsi="Arial" w:cs="Arial"/>
          <w:sz w:val="20"/>
          <w:szCs w:val="20"/>
        </w:rPr>
      </w:pPr>
      <w:r>
        <w:rPr>
          <w:rFonts w:ascii="Arial" w:eastAsia="Arial" w:hAnsi="Arial" w:cs="Arial"/>
          <w:sz w:val="20"/>
          <w:szCs w:val="20"/>
        </w:rPr>
        <w:t xml:space="preserve">Con el fin de preservar el estándar de desempeño requerido por la Entidad, el equipo ofertado deberá garantizar una conectividad estable y de alta velocidad, sin interrupciones que afecten su normal funcionamiento durante la operación del panel. </w:t>
      </w:r>
    </w:p>
    <w:p w14:paraId="4FEB2DB2" w14:textId="77777777" w:rsidR="00BE6367" w:rsidRDefault="00BE6367">
      <w:pPr>
        <w:spacing w:after="0"/>
        <w:jc w:val="both"/>
        <w:rPr>
          <w:rFonts w:ascii="Arial" w:eastAsia="Arial" w:hAnsi="Arial" w:cs="Arial"/>
          <w:sz w:val="20"/>
          <w:szCs w:val="20"/>
        </w:rPr>
      </w:pPr>
    </w:p>
    <w:p w14:paraId="0C44DE75" w14:textId="77777777" w:rsidR="00BE6367" w:rsidRDefault="00C90F6A">
      <w:pPr>
        <w:spacing w:after="0"/>
        <w:jc w:val="both"/>
        <w:rPr>
          <w:rFonts w:ascii="Arial" w:eastAsia="Arial" w:hAnsi="Arial" w:cs="Arial"/>
          <w:sz w:val="20"/>
          <w:szCs w:val="20"/>
        </w:rPr>
      </w:pPr>
      <w:r>
        <w:rPr>
          <w:rFonts w:ascii="Arial" w:eastAsia="Arial" w:hAnsi="Arial" w:cs="Arial"/>
          <w:sz w:val="20"/>
          <w:szCs w:val="20"/>
        </w:rPr>
        <w:t>En consecuencia, la ficha técnica será ajustada para reflejar el nuevo requerimiento, sin que ello implique una disminución del estándar funcional exigido por la Entidad.</w:t>
      </w:r>
    </w:p>
    <w:p w14:paraId="4916EB58" w14:textId="77777777" w:rsidR="00BE6367" w:rsidRDefault="00BE6367">
      <w:pPr>
        <w:spacing w:after="0"/>
        <w:jc w:val="both"/>
        <w:rPr>
          <w:rFonts w:ascii="Arial" w:eastAsia="Arial" w:hAnsi="Arial" w:cs="Arial"/>
          <w:sz w:val="20"/>
          <w:szCs w:val="20"/>
        </w:rPr>
      </w:pPr>
    </w:p>
    <w:p w14:paraId="0F4F7BB1" w14:textId="77777777" w:rsidR="00BE6367" w:rsidRDefault="00C90F6A">
      <w:pPr>
        <w:spacing w:before="160" w:after="40"/>
        <w:jc w:val="both"/>
        <w:rPr>
          <w:rFonts w:ascii="Arial" w:eastAsia="Arial" w:hAnsi="Arial" w:cs="Arial"/>
          <w:sz w:val="20"/>
          <w:szCs w:val="20"/>
        </w:rPr>
      </w:pPr>
      <w:r>
        <w:rPr>
          <w:rFonts w:ascii="Arial" w:eastAsia="Arial" w:hAnsi="Arial" w:cs="Arial"/>
          <w:b/>
          <w:bCs/>
          <w:color w:val="2E5F8A"/>
          <w:sz w:val="20"/>
          <w:szCs w:val="20"/>
        </w:rPr>
        <w:t xml:space="preserve">OBSERVACIÓN No. 2.3: </w:t>
      </w:r>
      <w:r>
        <w:rPr>
          <w:rFonts w:ascii="Arial" w:eastAsia="Arial" w:hAnsi="Arial" w:cs="Arial"/>
          <w:b/>
          <w:bCs/>
          <w:color w:val="000000"/>
          <w:sz w:val="20"/>
          <w:szCs w:val="20"/>
        </w:rPr>
        <w:t>Requisito Bluetooth versión 5.0 o superior en videowall LED plegable — Verificación de compatibilidad con SO integrado</w:t>
      </w:r>
    </w:p>
    <w:p w14:paraId="7748FE47"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El pliego exige Bluetooth versión 5.0 o superior en el videowall LED plegable. Al igual que Wi-Fi, la versión de Bluetooth disponible en los chipsets integrados en controladoras de videowalls LED con Android 9.0 puede ser Bluetooth 4.2, que es la versión estándar integrada en la plataforma Android 9.0 de referencia.</w:t>
      </w:r>
    </w:p>
    <w:p w14:paraId="464FE6D9"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Para el uso previsto del videowall de señalización —que raramente requiere emparejamiento Bluetooth simultáneo de múltiples dispositivos— Bluetooth 4.2 ofrece capacidades de emparejamiento estables y funcionales. La restricción a BT 5.0 en este tipo de equipo no está respaldada por una necesidad funcional específica en los estudios previos.</w:t>
      </w:r>
    </w:p>
    <w:p w14:paraId="0257F2D2"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Especificación propuesta: 'Conectividad Bluetooth versión 4.2 o superior'.</w:t>
      </w:r>
    </w:p>
    <w:p w14:paraId="030B098E" w14:textId="77777777" w:rsidR="00BE6367" w:rsidRDefault="00C90F6A">
      <w:pPr>
        <w:spacing w:before="80" w:after="120"/>
        <w:jc w:val="both"/>
        <w:rPr>
          <w:rFonts w:ascii="Arial" w:eastAsia="Arial" w:hAnsi="Arial" w:cs="Arial"/>
          <w:sz w:val="20"/>
          <w:szCs w:val="20"/>
        </w:rPr>
      </w:pPr>
      <w:r>
        <w:rPr>
          <w:rFonts w:ascii="Arial" w:eastAsia="Arial" w:hAnsi="Arial" w:cs="Arial"/>
          <w:b/>
          <w:bCs/>
          <w:color w:val="2E5F8A"/>
          <w:sz w:val="20"/>
          <w:szCs w:val="20"/>
        </w:rPr>
        <w:t xml:space="preserve">Solicitud: </w:t>
      </w:r>
      <w:r>
        <w:rPr>
          <w:rFonts w:ascii="Arial" w:eastAsia="Arial" w:hAnsi="Arial" w:cs="Arial"/>
          <w:sz w:val="20"/>
          <w:szCs w:val="20"/>
        </w:rPr>
        <w:t>Se solicita respetuosamente a la entidad estudiar la presente observación y ajustar el pliego de condiciones en consecuencia.</w:t>
      </w:r>
    </w:p>
    <w:p w14:paraId="597A46F5" w14:textId="77777777" w:rsidR="00BE6367" w:rsidRDefault="00BE6367">
      <w:pPr>
        <w:spacing w:before="80" w:after="120"/>
        <w:jc w:val="both"/>
        <w:rPr>
          <w:rFonts w:ascii="Arial" w:eastAsia="Arial" w:hAnsi="Arial" w:cs="Arial"/>
          <w:sz w:val="20"/>
          <w:szCs w:val="20"/>
        </w:rPr>
      </w:pPr>
    </w:p>
    <w:p w14:paraId="43010296"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18CD01AC"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 xml:space="preserve">Se acepta la observación. En atención a que las controladoras de videowalls LED que operan sobre la plataforma Android 9.0 incorporan de manera estándar chipsets con Bluetooth versión 4.2, y considerando que dicha versión ofrece capacidades de emparejamiento estables y </w:t>
      </w:r>
      <w:r>
        <w:rPr>
          <w:rFonts w:ascii="Arial" w:eastAsia="Arial" w:hAnsi="Arial" w:cs="Arial"/>
          <w:sz w:val="20"/>
          <w:szCs w:val="20"/>
        </w:rPr>
        <w:lastRenderedPageBreak/>
        <w:t>funcionales, acordes con el uso previsto del videowall como equipo de señalización que no demanda conexión simultánea de múltiples dispositivos Bluetooth, la Entidad ajustará la ficha técnica para exigir "conectividad Bluetooth versión 4.2 o superior", en lugar de la referencia exclusiva a la versión 5.0.</w:t>
      </w:r>
    </w:p>
    <w:p w14:paraId="0BC5DA69"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Esta modificación no implica una disminución del estándar funcional exigido por la Entidad, sino la admisión de una versión de protocolo plenamente adecuada al uso previsto del equipo, en aplicación de los principios de libre concurrencia y selección objetiva (art. 5 Ley 1150 de 2007).</w:t>
      </w:r>
    </w:p>
    <w:p w14:paraId="4058A717"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ficha técnica será ajustada en los términos aquí señalados.</w:t>
      </w:r>
    </w:p>
    <w:p w14:paraId="240EF8FF" w14:textId="77777777" w:rsidR="00BE6367" w:rsidRDefault="00BE6367">
      <w:pPr>
        <w:spacing w:before="80" w:after="120"/>
        <w:jc w:val="both"/>
        <w:rPr>
          <w:rFonts w:ascii="Arial" w:eastAsia="Arial" w:hAnsi="Arial" w:cs="Arial"/>
          <w:sz w:val="20"/>
          <w:szCs w:val="20"/>
        </w:rPr>
      </w:pPr>
    </w:p>
    <w:p w14:paraId="6D7307BB" w14:textId="77777777" w:rsidR="00BE6367" w:rsidRDefault="00C90F6A">
      <w:pPr>
        <w:spacing w:before="160" w:after="40"/>
        <w:jc w:val="both"/>
        <w:rPr>
          <w:rFonts w:ascii="Arial" w:eastAsia="Arial" w:hAnsi="Arial" w:cs="Arial"/>
          <w:sz w:val="20"/>
          <w:szCs w:val="20"/>
        </w:rPr>
      </w:pPr>
      <w:r>
        <w:rPr>
          <w:rFonts w:ascii="Arial" w:eastAsia="Arial" w:hAnsi="Arial" w:cs="Arial"/>
          <w:b/>
          <w:bCs/>
          <w:color w:val="2E5F8A"/>
          <w:sz w:val="20"/>
          <w:szCs w:val="20"/>
        </w:rPr>
        <w:t xml:space="preserve">OBSERVACIÓN No. 2.4: </w:t>
      </w:r>
      <w:r>
        <w:rPr>
          <w:rFonts w:ascii="Arial" w:eastAsia="Arial" w:hAnsi="Arial" w:cs="Arial"/>
          <w:color w:val="000000"/>
          <w:sz w:val="20"/>
          <w:szCs w:val="20"/>
        </w:rPr>
        <w:t>Puertos HDMI OU</w:t>
      </w:r>
      <w:r>
        <w:rPr>
          <w:rFonts w:ascii="Arial" w:eastAsia="Arial" w:hAnsi="Arial" w:cs="Arial"/>
          <w:b/>
          <w:bCs/>
          <w:color w:val="000000"/>
          <w:sz w:val="20"/>
          <w:szCs w:val="20"/>
        </w:rPr>
        <w:t>T, RS232 y SPDIF — No aplicables a videowalls LED plegables portátiles</w:t>
      </w:r>
    </w:p>
    <w:p w14:paraId="70FC7A81"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El pliego exige en el ítem Pantalla 136" LED Plegable la presencia de: (a) 1 puerto HDMI 1.3 OUT, (b) 1 puerto RS232 y (c) 1 puerto SPDIF. Estas son características de monitores y pantallas de instalación fija convencional que no corresponden a las características de diseño de un videowall LED plegable portátil.</w:t>
      </w:r>
    </w:p>
    <w:p w14:paraId="20F4A485"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(a) HDMI OUT: Un videowall LED plegable actúa como display primario de señalización. La salida HDMI no tiene aplicación funcional en este tipo de equipo, que es el destino final del contenido, no una pantalla en cadena daisy-chain.</w:t>
      </w:r>
    </w:p>
    <w:p w14:paraId="64584D51"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(b) RS232: Protocolo de control serial AV para sistemas de automatización de salas fijas (AMX, Crestron). Un videowall plegable portátil no requiere ni puede aprovechar el control RS232.</w:t>
      </w:r>
    </w:p>
    <w:p w14:paraId="2A9B15D0"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(c) SPDIF: Interfaz de audio digital óptico de uso en instalaciones fijas. El videowall LED dispone de salida de audio analógica 3.5mm que cubre el uso previsto.</w:t>
      </w:r>
    </w:p>
    <w:p w14:paraId="1AA089EE"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Especificación propuesta: Eliminar los requisitos de HDMI OUT, RS232 y SPDIF para este ítem, o indicar que aplican 'cuando la tecnología del equipo lo permita, sin constituir requisito eliminatorio'.</w:t>
      </w:r>
    </w:p>
    <w:p w14:paraId="1BD8403C" w14:textId="77777777" w:rsidR="00BE6367" w:rsidRDefault="00C90F6A">
      <w:pPr>
        <w:spacing w:before="80" w:after="120"/>
        <w:jc w:val="both"/>
        <w:rPr>
          <w:rFonts w:ascii="Arial" w:eastAsia="Arial" w:hAnsi="Arial" w:cs="Arial"/>
          <w:sz w:val="20"/>
          <w:szCs w:val="20"/>
        </w:rPr>
      </w:pPr>
      <w:r>
        <w:rPr>
          <w:rFonts w:ascii="Arial" w:eastAsia="Arial" w:hAnsi="Arial" w:cs="Arial"/>
          <w:b/>
          <w:bCs/>
          <w:color w:val="2E5F8A"/>
          <w:sz w:val="20"/>
          <w:szCs w:val="20"/>
        </w:rPr>
        <w:t xml:space="preserve">Solicitud: </w:t>
      </w:r>
      <w:r>
        <w:rPr>
          <w:rFonts w:ascii="Arial" w:eastAsia="Arial" w:hAnsi="Arial" w:cs="Arial"/>
          <w:sz w:val="20"/>
          <w:szCs w:val="20"/>
        </w:rPr>
        <w:t>Se solicita respetuosamente a la entidad estudiar la presente observación y ajustar el pliego de condiciones en consecuencia.</w:t>
      </w:r>
    </w:p>
    <w:p w14:paraId="5225104B" w14:textId="77777777" w:rsidR="00BE6367" w:rsidRDefault="00BE6367">
      <w:pPr>
        <w:spacing w:before="80" w:after="120"/>
        <w:jc w:val="both"/>
        <w:rPr>
          <w:rFonts w:ascii="Arial" w:eastAsia="Arial" w:hAnsi="Arial" w:cs="Arial"/>
          <w:sz w:val="20"/>
          <w:szCs w:val="20"/>
        </w:rPr>
      </w:pPr>
    </w:p>
    <w:p w14:paraId="72EEE68F" w14:textId="77777777" w:rsidR="00BE6367" w:rsidRDefault="00C90F6A">
      <w:pPr>
        <w:spacing w:after="0"/>
        <w:jc w:val="both"/>
        <w:rPr>
          <w:rFonts w:ascii="Arial" w:eastAsia="Arial" w:hAnsi="Arial" w:cs="Arial"/>
          <w:b/>
          <w:bCs/>
          <w:sz w:val="20"/>
          <w:szCs w:val="20"/>
        </w:rPr>
      </w:pPr>
      <w:r>
        <w:rPr>
          <w:rFonts w:ascii="Arial" w:eastAsia="Arial" w:hAnsi="Arial" w:cs="Arial"/>
          <w:b/>
          <w:bCs/>
          <w:sz w:val="20"/>
          <w:szCs w:val="20"/>
        </w:rPr>
        <w:t>RESPUESTA A OBSERVACIÓN:</w:t>
      </w:r>
    </w:p>
    <w:p w14:paraId="520FE992"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(a) HDMI OUT: No se acepta la observación. La Entidad mantiene el requisito de 1 puerto HDMI OUT, por cuanto dicha salida responde a una necesidad funcional identificada por la Entidad en la etapa de planeación del proceso, conforme a los estudios previos que sustentan la presente contratación.</w:t>
      </w:r>
    </w:p>
    <w:p w14:paraId="478055F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(b) RS232: Se acepta parcialmente la observación, en los mismos términos ya definidos por la Entidad frente a esta misma interfaz para el presente proceso. No se accede a la eliminación total del requerimiento de puerto RS232. No obstante, se admite que este requisito se cumpla mediante un adaptador o convertidor externo conectado a los puertos HDMI o USB del equipo, siempre que dicho adaptador sea suministrado junto con el equipo, forme parte integral de la solución ofertada y garantice la plena funcionalidad, estabilidad y compatibilidad exigidas para los fines previstos por la Entidad.</w:t>
      </w:r>
    </w:p>
    <w:p w14:paraId="216F9D7C"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 xml:space="preserve">(c) SPDIF: Se acepta parcialmente la observación. La Entidad mantiene el requisito de 1 puerto SPDIF, por cuanto dicha interfaz responde a una necesidad funcional relacionada con los sistemas de audio, funcionalidad que no resulta plenamente equivalente a la ofrecida por la </w:t>
      </w:r>
      <w:r>
        <w:rPr>
          <w:rFonts w:ascii="Arial" w:eastAsia="Arial" w:hAnsi="Arial" w:cs="Arial"/>
          <w:sz w:val="20"/>
          <w:szCs w:val="20"/>
        </w:rPr>
        <w:lastRenderedPageBreak/>
        <w:t>salida de audio analógica 3.5 mm referida por el observante. En todo caso, y en coherencia con lo ya definido por la Entidad para esta misma interfaz, se admite que el requisito se cumpla mediante adaptador o convertidor externo conectado a los puertos HDMI o USB del equipo, en los términos y condiciones ya señalados.</w:t>
      </w:r>
    </w:p>
    <w:p w14:paraId="51F957F7"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ficha técnica será ajustada para reflejar que los requisitos de RS232 y SPDIF podrán cumplirse de manera nativa en el equipo o mediante adaptadores externos incluidos en la entrega, sin que ello modifique el estándar funcional exigido por la Entidad, manteniéndose así el criterio unificado adoptado para esta interfaz en el conjunto del pliego.</w:t>
      </w:r>
    </w:p>
    <w:p w14:paraId="65B0883A" w14:textId="77777777" w:rsidR="00BE6367" w:rsidRDefault="00BE6367">
      <w:pPr>
        <w:spacing w:before="80" w:after="120"/>
        <w:jc w:val="both"/>
        <w:rPr>
          <w:rFonts w:ascii="Arial" w:eastAsia="Arial" w:hAnsi="Arial" w:cs="Arial"/>
          <w:sz w:val="20"/>
          <w:szCs w:val="20"/>
        </w:rPr>
      </w:pPr>
    </w:p>
    <w:p w14:paraId="40670FAF" w14:textId="77777777" w:rsidR="00BE6367" w:rsidRDefault="00C90F6A">
      <w:pPr>
        <w:spacing w:before="160" w:after="40"/>
        <w:jc w:val="both"/>
        <w:rPr>
          <w:rFonts w:ascii="Arial" w:eastAsia="Arial" w:hAnsi="Arial" w:cs="Arial"/>
          <w:sz w:val="20"/>
          <w:szCs w:val="20"/>
        </w:rPr>
      </w:pPr>
      <w:r>
        <w:rPr>
          <w:rFonts w:ascii="Arial" w:eastAsia="Arial" w:hAnsi="Arial" w:cs="Arial"/>
          <w:b/>
          <w:bCs/>
          <w:color w:val="2E5F8A"/>
          <w:sz w:val="20"/>
          <w:szCs w:val="20"/>
        </w:rPr>
        <w:t xml:space="preserve">OBSERVACIÓN No. 2.5: </w:t>
      </w:r>
      <w:r>
        <w:rPr>
          <w:rFonts w:ascii="Arial" w:eastAsia="Arial" w:hAnsi="Arial" w:cs="Arial"/>
          <w:b/>
          <w:bCs/>
          <w:color w:val="000000"/>
          <w:sz w:val="20"/>
          <w:szCs w:val="20"/>
        </w:rPr>
        <w:t>Puerto RJ45 obligatorio en videowall LED plegable — Solicitar aceptación de Wi-Fi dual banda como alternativa</w:t>
      </w:r>
    </w:p>
    <w:p w14:paraId="4CD174A8"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El pliego exige 1 puerto RJ45 en el videowall LED plegable. Por su naturaleza portátil y plegable, este tipo de equipo se diseña con conectividad Wi-Fi dual banda para facilitar el despliegue flexible sin dependencia de infraestructura de red cableada. Exigir RJ45 obligatorio en un equipo portátil contradice su diseño y restringe artificialmente la participación.</w:t>
      </w:r>
    </w:p>
    <w:p w14:paraId="1A7520D5"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Especificación propuesta: 'Conectividad de red mediante Wi-Fi dual banda (2.4 GHz y 5 GHz) o puerto RJ45 Ethernet, siendo obligatoria al menos una de las dos opciones'.</w:t>
      </w:r>
    </w:p>
    <w:p w14:paraId="1A795004" w14:textId="77777777" w:rsidR="00BE6367" w:rsidRDefault="00C90F6A">
      <w:pPr>
        <w:spacing w:before="80" w:after="120"/>
        <w:jc w:val="both"/>
        <w:rPr>
          <w:rFonts w:ascii="Arial" w:eastAsia="Arial" w:hAnsi="Arial" w:cs="Arial"/>
          <w:sz w:val="20"/>
          <w:szCs w:val="20"/>
        </w:rPr>
      </w:pPr>
      <w:r>
        <w:rPr>
          <w:rFonts w:ascii="Arial" w:eastAsia="Arial" w:hAnsi="Arial" w:cs="Arial"/>
          <w:b/>
          <w:bCs/>
          <w:color w:val="2E5F8A"/>
          <w:sz w:val="20"/>
          <w:szCs w:val="20"/>
        </w:rPr>
        <w:t xml:space="preserve">Solicitud: </w:t>
      </w:r>
      <w:r>
        <w:rPr>
          <w:rFonts w:ascii="Arial" w:eastAsia="Arial" w:hAnsi="Arial" w:cs="Arial"/>
          <w:sz w:val="20"/>
          <w:szCs w:val="20"/>
        </w:rPr>
        <w:t>Se solicita respetuosamente a la entidad estudiar la presente observación y ajustar el pliego de condiciones en consecuencia.</w:t>
      </w:r>
    </w:p>
    <w:p w14:paraId="3AFF6B9E" w14:textId="77777777" w:rsidR="00BE6367" w:rsidRDefault="00BE6367">
      <w:pPr>
        <w:spacing w:before="80" w:after="120"/>
        <w:jc w:val="both"/>
        <w:rPr>
          <w:rFonts w:ascii="Arial" w:eastAsia="Arial" w:hAnsi="Arial" w:cs="Arial"/>
          <w:sz w:val="20"/>
          <w:szCs w:val="20"/>
        </w:rPr>
      </w:pPr>
    </w:p>
    <w:p w14:paraId="73D04EC8"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196B4C50"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se acepta la observación. La Entidad mantiene el requisito de 1 puerto RJ45 en el videowall LED plegable, el cual se exige de manera</w:t>
      </w:r>
      <w:r>
        <w:rPr>
          <w:rFonts w:ascii="Arial" w:eastAsia="Arial" w:hAnsi="Arial" w:cs="Arial"/>
          <w:b/>
          <w:bCs/>
          <w:sz w:val="20"/>
          <w:szCs w:val="20"/>
        </w:rPr>
        <w:t xml:space="preserve"> </w:t>
      </w:r>
      <w:r>
        <w:rPr>
          <w:rFonts w:ascii="Arial" w:eastAsia="Arial" w:hAnsi="Arial" w:cs="Arial"/>
          <w:sz w:val="20"/>
          <w:szCs w:val="20"/>
        </w:rPr>
        <w:t>adicional y no sustitutiva a la conectividad Wi-Fi de doble banda ya prevista en la ficha técnica del equipo. Lo anterior, por cuanto la disponibilidad simultánea de ambas alternativas de conectividad cableada e inalámbrica responde a la necesidad de garantizar la instalación y operación del equipo en entornos diversos, incluyendo espacios en los que la conectividad inalámbrica pueda verse limitada por razones de infraestructura, políticas de seguridad de red institucional, interferencia u otras condiciones propias del lugar de despliegue.</w:t>
      </w:r>
    </w:p>
    <w:p w14:paraId="445B6411"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este sentido, la naturaleza portátil y plegable del equipo no resulta incompatible con la incorporación de un puerto RJ45, el cual constituye una funcionalidad complementaria orientada a maximizar la versatilidad de conexión del equipo, sin que ello afecte su condición de equipo de despliegue flexible, dado que la conectividad Wi-Fi de doble banda permanece disponible como alternativa principal para los escenarios que así lo permitan.</w:t>
      </w:r>
    </w:p>
    <w:p w14:paraId="011AB333"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se mantiene el requisito de 1 puerto RJ45 en los términos definidos en la ficha técnica, sin perjuicio de la conectividad Wi-Fi ya prevista para este mismo ítem.</w:t>
      </w:r>
    </w:p>
    <w:p w14:paraId="785968E4" w14:textId="77777777" w:rsidR="00BE6367" w:rsidRDefault="00BE6367">
      <w:pPr>
        <w:spacing w:before="80" w:after="120"/>
        <w:jc w:val="both"/>
        <w:rPr>
          <w:rFonts w:ascii="Arial" w:eastAsia="Arial" w:hAnsi="Arial" w:cs="Arial"/>
          <w:sz w:val="20"/>
          <w:szCs w:val="20"/>
        </w:rPr>
      </w:pPr>
    </w:p>
    <w:p w14:paraId="1919E9F8" w14:textId="77777777" w:rsidR="00BE6367" w:rsidRDefault="00C90F6A">
      <w:pPr>
        <w:spacing w:before="160" w:after="40"/>
        <w:jc w:val="both"/>
        <w:rPr>
          <w:rFonts w:ascii="Arial" w:eastAsia="Arial" w:hAnsi="Arial" w:cs="Arial"/>
          <w:sz w:val="20"/>
          <w:szCs w:val="20"/>
        </w:rPr>
      </w:pPr>
      <w:r>
        <w:rPr>
          <w:rFonts w:ascii="Arial" w:eastAsia="Arial" w:hAnsi="Arial" w:cs="Arial"/>
          <w:b/>
          <w:bCs/>
          <w:color w:val="2E5F8A"/>
          <w:sz w:val="20"/>
          <w:szCs w:val="20"/>
        </w:rPr>
        <w:t xml:space="preserve">OBSERVACIÓN No. 2.6: </w:t>
      </w:r>
      <w:r>
        <w:rPr>
          <w:rFonts w:ascii="Arial" w:eastAsia="Arial" w:hAnsi="Arial" w:cs="Arial"/>
          <w:b/>
          <w:bCs/>
          <w:color w:val="000000"/>
          <w:sz w:val="20"/>
          <w:szCs w:val="20"/>
        </w:rPr>
        <w:t>Número de puertos USB mínimo (×4) — Ajuste a la funcionalidad real del dispositivo</w:t>
      </w:r>
    </w:p>
    <w:p w14:paraId="123186C5"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El pliego exige 4 puertos USB en el videowall LED plegable. Para este equipo, cuyo uso es señalización y presentaciones, los puertos USB se usan para reproducción de contenido multimedia y actualización de firmware —dos funciones que no requieren más de 2 puertos simultáneos. El requisito de 4 puertos excede la necesidad funcional y restringe la participación.</w:t>
      </w:r>
    </w:p>
    <w:p w14:paraId="110BE579"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lastRenderedPageBreak/>
        <w:t>Especificación propuesta: 'Mínimo 2 puertos USB-A'.</w:t>
      </w:r>
    </w:p>
    <w:p w14:paraId="106F0563" w14:textId="77777777" w:rsidR="00BE6367" w:rsidRDefault="00C90F6A">
      <w:pPr>
        <w:spacing w:before="80" w:after="120"/>
        <w:jc w:val="both"/>
        <w:rPr>
          <w:rFonts w:ascii="Arial" w:eastAsia="Arial" w:hAnsi="Arial" w:cs="Arial"/>
          <w:sz w:val="20"/>
          <w:szCs w:val="20"/>
        </w:rPr>
      </w:pPr>
      <w:r>
        <w:rPr>
          <w:rFonts w:ascii="Arial" w:eastAsia="Arial" w:hAnsi="Arial" w:cs="Arial"/>
          <w:b/>
          <w:bCs/>
          <w:color w:val="2E5F8A"/>
          <w:sz w:val="20"/>
          <w:szCs w:val="20"/>
        </w:rPr>
        <w:t xml:space="preserve">Solicitud: </w:t>
      </w:r>
      <w:r>
        <w:rPr>
          <w:rFonts w:ascii="Arial" w:eastAsia="Arial" w:hAnsi="Arial" w:cs="Arial"/>
          <w:sz w:val="20"/>
          <w:szCs w:val="20"/>
        </w:rPr>
        <w:t>Se solicita respetuosamente a la entidad estudiar la presente observación y ajustar el pliego de condiciones en consecuencia.</w:t>
      </w:r>
    </w:p>
    <w:p w14:paraId="0E2E63CF" w14:textId="77777777" w:rsidR="00BE6367" w:rsidRDefault="00BE6367">
      <w:pPr>
        <w:spacing w:before="80" w:after="120"/>
        <w:jc w:val="both"/>
        <w:rPr>
          <w:rFonts w:ascii="Arial" w:eastAsia="Arial" w:hAnsi="Arial" w:cs="Arial"/>
          <w:sz w:val="20"/>
          <w:szCs w:val="20"/>
        </w:rPr>
      </w:pPr>
    </w:p>
    <w:p w14:paraId="384373A4" w14:textId="77777777" w:rsidR="00AA7016" w:rsidRDefault="00AA7016">
      <w:pPr>
        <w:spacing w:before="80" w:after="120"/>
        <w:jc w:val="both"/>
        <w:rPr>
          <w:rFonts w:ascii="Arial" w:eastAsia="Arial" w:hAnsi="Arial" w:cs="Arial"/>
          <w:sz w:val="20"/>
          <w:szCs w:val="20"/>
        </w:rPr>
      </w:pPr>
    </w:p>
    <w:p w14:paraId="24B7C28F" w14:textId="77777777" w:rsidR="00BE6367" w:rsidRDefault="00C90F6A">
      <w:pPr>
        <w:spacing w:after="0"/>
        <w:jc w:val="both"/>
        <w:rPr>
          <w:rFonts w:ascii="Arial" w:eastAsia="Arial" w:hAnsi="Arial" w:cs="Arial"/>
          <w:b/>
          <w:bCs/>
          <w:sz w:val="20"/>
          <w:szCs w:val="20"/>
        </w:rPr>
      </w:pPr>
      <w:r>
        <w:rPr>
          <w:rFonts w:ascii="Arial" w:eastAsia="Arial" w:hAnsi="Arial" w:cs="Arial"/>
          <w:b/>
          <w:bCs/>
          <w:sz w:val="20"/>
          <w:szCs w:val="20"/>
        </w:rPr>
        <w:t>RESPUESTA A OBSERVACIÓN:</w:t>
      </w:r>
    </w:p>
    <w:p w14:paraId="38AFB0E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Entidad acepta parcialmente la observación. No se accede a reducir el requerimiento a un mínimo de 2 puertos USB, por cuanto la disponibilidad de 4 puertos responde a las necesidades funcionales identificadas por la Entidad para garantizar la conexión simultánea de los dispositivos requeridos en la operación del videowall LED plegable, tales como memorias USB para reproducción de contenido multimedia, dispositivos de actualización de firmware y demás periféricos que puedan emplearse conforme al uso previsto del equipo en escenarios de señalización y presentación.</w:t>
      </w:r>
    </w:p>
    <w:p w14:paraId="47237127"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obstante, se acoge la alternativa ya admitida por la Entidad para este mismo tipo de requerimiento en el presente proceso, en el sentido de permitir que el cumplimiento de los 4 puertos USB se logre mediante la incorporación de un concentrador (Hub) USB externo, siempre que este sea suministrado junto con el equipo, forme parte integral de la solución ofertada y garantice la plena funcionalidad, estabilidad y compatibilidad exigidas para el uso previsto del videowall.</w:t>
      </w:r>
    </w:p>
    <w:p w14:paraId="35B8C514"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ficha técnica será ajustada para precisar que el requisito de "mínimo 4 puertos USB" podrá cumplirse de manera nativa en el equipo o mediante Hub USB externo incluido en la entrega, sin que ello modifique el estándar funcional exigido por la Entidad.</w:t>
      </w:r>
    </w:p>
    <w:p w14:paraId="0C6D56ED" w14:textId="77777777" w:rsidR="00BE6367" w:rsidRDefault="00BE6367">
      <w:pPr>
        <w:spacing w:before="80" w:after="120"/>
        <w:jc w:val="both"/>
        <w:rPr>
          <w:rFonts w:ascii="Arial" w:eastAsia="Arial" w:hAnsi="Arial" w:cs="Arial"/>
          <w:sz w:val="20"/>
          <w:szCs w:val="20"/>
        </w:rPr>
      </w:pPr>
    </w:p>
    <w:p w14:paraId="59AC8096" w14:textId="77777777" w:rsidR="00BE6367" w:rsidRDefault="00C90F6A">
      <w:pPr>
        <w:spacing w:before="160" w:after="40"/>
        <w:jc w:val="both"/>
        <w:rPr>
          <w:rFonts w:ascii="Arial" w:eastAsia="Arial" w:hAnsi="Arial" w:cs="Arial"/>
          <w:sz w:val="20"/>
          <w:szCs w:val="20"/>
        </w:rPr>
      </w:pPr>
      <w:r>
        <w:rPr>
          <w:rFonts w:ascii="Arial" w:eastAsia="Arial" w:hAnsi="Arial" w:cs="Arial"/>
          <w:b/>
          <w:bCs/>
          <w:color w:val="2E5F8A"/>
          <w:sz w:val="20"/>
          <w:szCs w:val="20"/>
        </w:rPr>
        <w:t xml:space="preserve">OBSERVACIÓN No. 2.7: </w:t>
      </w:r>
      <w:r>
        <w:rPr>
          <w:rFonts w:ascii="Arial" w:eastAsia="Arial" w:hAnsi="Arial" w:cs="Arial"/>
          <w:b/>
          <w:bCs/>
          <w:color w:val="000000"/>
          <w:sz w:val="20"/>
          <w:szCs w:val="20"/>
        </w:rPr>
        <w:t>Certificación ENERGY STAR — Técnicamente no aplicable a videowalls LED de gran formato y alta luminancia</w:t>
      </w:r>
    </w:p>
    <w:p w14:paraId="49CDE710"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El pliego exige certificación ENERGY STAR para el videowall LED de 136". La certificación ENERGY STAR en su categoría de displays (Version 8.0) aplica a monitores de escritorio y televisores con umbrales de consumo máximo de aproximadamente 85W. Un videowall LED de 136" con brillo de 550 nits consume entre 600W y 2000W de potencia máxima por diseño funcional inherente.</w:t>
      </w:r>
    </w:p>
    <w:p w14:paraId="7B263237"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Exigir ENERGY STAR a un videowall LED de 136" implica la exclusión de todos los equipos de esta categoría en el mercado mundial, pues ningún fabricante puede obtener esta certificación para displays de esta potencia. Se trata de un requisito técnicamente de imposible cumplimiento para el tipo de bien solicitado.</w:t>
      </w:r>
    </w:p>
    <w:p w14:paraId="03616D48"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Especificación propuesta: 'Certificación de seguridad eléctrica IEC 62368-1 o equivalente internacional (CE, CB, UL), y declaración de cumplimiento de directiva RoHS firmada por el fabricante'.</w:t>
      </w:r>
    </w:p>
    <w:p w14:paraId="4BAA1C07" w14:textId="77777777" w:rsidR="00BE6367" w:rsidRDefault="00C90F6A">
      <w:pPr>
        <w:spacing w:before="80" w:after="120"/>
        <w:jc w:val="both"/>
        <w:rPr>
          <w:rFonts w:ascii="Arial" w:eastAsia="Arial" w:hAnsi="Arial" w:cs="Arial"/>
          <w:sz w:val="20"/>
          <w:szCs w:val="20"/>
        </w:rPr>
      </w:pPr>
      <w:r>
        <w:rPr>
          <w:rFonts w:ascii="Arial" w:eastAsia="Arial" w:hAnsi="Arial" w:cs="Arial"/>
          <w:b/>
          <w:bCs/>
          <w:color w:val="2E5F8A"/>
          <w:sz w:val="20"/>
          <w:szCs w:val="20"/>
        </w:rPr>
        <w:t xml:space="preserve">Solicitud: </w:t>
      </w:r>
      <w:r>
        <w:rPr>
          <w:rFonts w:ascii="Arial" w:eastAsia="Arial" w:hAnsi="Arial" w:cs="Arial"/>
          <w:sz w:val="20"/>
          <w:szCs w:val="20"/>
        </w:rPr>
        <w:t>Se solicita respetuosamente a la entidad estudiar la presente observación y ajustar el pliego de condiciones en consecuencia.</w:t>
      </w:r>
    </w:p>
    <w:p w14:paraId="58020D36" w14:textId="77777777" w:rsidR="00BE6367" w:rsidRDefault="00C90F6A">
      <w:pPr>
        <w:spacing w:after="0"/>
        <w:jc w:val="both"/>
        <w:rPr>
          <w:rFonts w:ascii="Arial" w:eastAsia="Arial" w:hAnsi="Arial" w:cs="Arial"/>
          <w:b/>
          <w:bCs/>
          <w:sz w:val="20"/>
          <w:szCs w:val="20"/>
        </w:rPr>
      </w:pPr>
      <w:r>
        <w:rPr>
          <w:rFonts w:ascii="Arial" w:eastAsia="Arial" w:hAnsi="Arial" w:cs="Arial"/>
          <w:b/>
          <w:bCs/>
          <w:sz w:val="20"/>
          <w:szCs w:val="20"/>
        </w:rPr>
        <w:t>RESPUESTA A OBSERVACIÓN:</w:t>
      </w:r>
    </w:p>
    <w:p w14:paraId="61C1B432"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 xml:space="preserve">Se acepta la observación. Verificado técnicamente que la certificación ENERGY STAR, en su categoría de displays, está diseñada para equipos de consumo eléctrico propio de monitores y televisores de uso doméstico u ofimático, y que dicho estándar resulta incompatible con las </w:t>
      </w:r>
      <w:r>
        <w:rPr>
          <w:rFonts w:ascii="Arial" w:eastAsia="Arial" w:hAnsi="Arial" w:cs="Arial"/>
          <w:sz w:val="20"/>
          <w:szCs w:val="20"/>
        </w:rPr>
        <w:lastRenderedPageBreak/>
        <w:t>características de potencia y luminancia inherentes a un videowall LED de gran formato como el requerido en el presente proceso, la Entidad procederá a ajustar la ficha técnica, eliminando la exigencia de certificación ENERGY STAR para este ítem.</w:t>
      </w:r>
    </w:p>
    <w:p w14:paraId="5F2ACB5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su lugar, se exigirá la acreditación de: (i) certificación de seguridad eléctrica IEC 62368-1 o su equivalente internacional (CE, CB o UL), y/o (ii) declaración de cumplimiento de la directiva RoHS suscrita por el fabricante, en los términos propuestos por el observante, por considerarse estándares técnicamente aplicables y suficientes para garantizar la seguridad eléctrica y ambiental del equipo ofertado.</w:t>
      </w:r>
    </w:p>
    <w:p w14:paraId="07C88987" w14:textId="77777777" w:rsidR="00BE6367" w:rsidRDefault="00C90F6A">
      <w:pPr>
        <w:spacing w:before="240" w:after="240"/>
        <w:jc w:val="both"/>
        <w:rPr>
          <w:rFonts w:ascii="Arial" w:eastAsia="Arial" w:hAnsi="Arial" w:cs="Arial"/>
          <w:b/>
          <w:bCs/>
          <w:sz w:val="20"/>
          <w:szCs w:val="20"/>
        </w:rPr>
      </w:pPr>
      <w:r>
        <w:rPr>
          <w:rFonts w:ascii="Arial" w:eastAsia="Arial" w:hAnsi="Arial" w:cs="Arial"/>
          <w:sz w:val="20"/>
          <w:szCs w:val="20"/>
        </w:rPr>
        <w:t>La ficha técnica será modificada en el sentido indicado, mediante el respectivo documento de modificación a la ficha técnica de producto.</w:t>
      </w:r>
    </w:p>
    <w:p w14:paraId="3350B23F" w14:textId="77777777" w:rsidR="00BE6367" w:rsidRDefault="00C90F6A">
      <w:pPr>
        <w:pBdr>
          <w:bottom w:val="single" w:sz="4" w:space="2" w:color="2E5F8A"/>
        </w:pBdr>
        <w:spacing w:before="160" w:after="40"/>
        <w:jc w:val="both"/>
        <w:rPr>
          <w:rFonts w:ascii="Arial" w:eastAsia="Arial" w:hAnsi="Arial" w:cs="Arial"/>
          <w:sz w:val="20"/>
          <w:szCs w:val="20"/>
        </w:rPr>
      </w:pPr>
      <w:r>
        <w:rPr>
          <w:rFonts w:ascii="Arial" w:eastAsia="Arial" w:hAnsi="Arial" w:cs="Arial"/>
          <w:b/>
          <w:bCs/>
          <w:color w:val="2E5F8A"/>
          <w:sz w:val="20"/>
          <w:szCs w:val="20"/>
        </w:rPr>
        <w:t>ÍTEM: MONITOR INTERACTIVO 75" — SIBOL 44320 + 44442</w:t>
      </w:r>
    </w:p>
    <w:p w14:paraId="39D2E930" w14:textId="77777777" w:rsidR="00BE6367" w:rsidRDefault="00C90F6A">
      <w:pPr>
        <w:spacing w:before="160" w:after="40"/>
        <w:jc w:val="both"/>
        <w:rPr>
          <w:rFonts w:ascii="Arial" w:eastAsia="Arial" w:hAnsi="Arial" w:cs="Arial"/>
          <w:sz w:val="20"/>
          <w:szCs w:val="20"/>
        </w:rPr>
      </w:pPr>
      <w:r>
        <w:rPr>
          <w:rFonts w:ascii="Arial" w:eastAsia="Arial" w:hAnsi="Arial" w:cs="Arial"/>
          <w:b/>
          <w:bCs/>
          <w:color w:val="2E5F8A"/>
          <w:sz w:val="20"/>
          <w:szCs w:val="20"/>
        </w:rPr>
        <w:t xml:space="preserve">OBSERVACIÓN No. 3.1: </w:t>
      </w:r>
      <w:r>
        <w:rPr>
          <w:rFonts w:ascii="Arial" w:eastAsia="Arial" w:hAnsi="Arial" w:cs="Arial"/>
          <w:b/>
          <w:bCs/>
          <w:color w:val="000000"/>
          <w:sz w:val="20"/>
          <w:szCs w:val="20"/>
        </w:rPr>
        <w:t>Puertos USB 3.0 Type-A (mínimo 5) — Solicitar interpretación funcional inclusiva USB-A genérico</w:t>
      </w:r>
    </w:p>
    <w:p w14:paraId="6B48A928"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El pliego exige para el Monitor Interactivo 75" un mínimo de 5 puertos USB 3.0 Type-A y adicionalmente 1 puerto USB 2.0 Type-A (total: 6 puertos USB-A). Los equipos de última generación de pantallas interactivas de 75" disponibles en el mercado incorporan entre 4 y 5 puertos USB-A totales combinando versiones 3.0 y 2.0, todos retrocompatibles.</w:t>
      </w:r>
    </w:p>
    <w:p w14:paraId="5D8E51C0"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El estándar USB 3.0 y USB 2.0 son retrocompatibles en ambas direcciones (USB-IF estándar). Un equipo con 4 puertos USB 3.0 + 1 puerto USB 2.0 = 5 puertos USB-A totales cumple funcionalmente todos los casos de uso descritos para el monitor de 75", y ofrece adicionalmente las ventajas de mayor velocidad de USB 3.0 para los usuarios.</w:t>
      </w:r>
    </w:p>
    <w:p w14:paraId="37E31415"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Especificación propuesta: 'Mínimo 5 puertos USB-A (versión 3.0 o 2.0), incluyendo al menos 1 puerto USB 2.0 Type-A'. Con esta formulación, un equipo con 4×USB3.0 + 1×USB2.0 cumple el requisito íntegramente.</w:t>
      </w:r>
    </w:p>
    <w:p w14:paraId="1D864199" w14:textId="77777777" w:rsidR="00BE6367" w:rsidRDefault="00C90F6A">
      <w:pPr>
        <w:spacing w:before="80" w:after="120"/>
        <w:jc w:val="both"/>
        <w:rPr>
          <w:rFonts w:ascii="Arial" w:eastAsia="Arial" w:hAnsi="Arial" w:cs="Arial"/>
          <w:sz w:val="20"/>
          <w:szCs w:val="20"/>
        </w:rPr>
      </w:pPr>
      <w:r>
        <w:rPr>
          <w:rFonts w:ascii="Arial" w:eastAsia="Arial" w:hAnsi="Arial" w:cs="Arial"/>
          <w:b/>
          <w:bCs/>
          <w:color w:val="2E5F8A"/>
          <w:sz w:val="20"/>
          <w:szCs w:val="20"/>
        </w:rPr>
        <w:t xml:space="preserve">Solicitud: </w:t>
      </w:r>
      <w:r>
        <w:rPr>
          <w:rFonts w:ascii="Arial" w:eastAsia="Arial" w:hAnsi="Arial" w:cs="Arial"/>
          <w:sz w:val="20"/>
          <w:szCs w:val="20"/>
        </w:rPr>
        <w:t>Se solicita respetuosamente a la entidad estudiar la presente observación y ajustar el pliego de condiciones en consecuencia.</w:t>
      </w:r>
    </w:p>
    <w:p w14:paraId="428F4780"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0DB6C6D4"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acepta parcialmente la observación. La Entidad ajusta el requerimiento para el Monitor Interactivo 75", exigiendo un mínimo de 5 puertos USB-A en total, de los cuales al menos 1 deberá corresponder a la versión USB 2.0 Type-A, admitiéndose que los 4 puertos restantes sean USB 3.0 Type-A, USB 2.0 Type-A, o una combinación de ambos, en atención a la retrocompatibilidad reconocida entre dichas versiones conforme a los estándares del USB Implementers Forum (USB-IF), y considerando que dicha configuración satisface adecuadamente los casos de uso previstos para este equipo.</w:t>
      </w:r>
    </w:p>
    <w:p w14:paraId="37F677E0"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ficha técnica será ajustada para exigir "mínimo 5 puertos USB-A, incluyendo al menos 1 puerto USB 2.0 Type-A", en lugar de la exigencia original de 5 puertos USB 3.0 Type-A más 1 puerto USB 2.0 Type-A adicional.</w:t>
      </w:r>
    </w:p>
    <w:p w14:paraId="0561A372" w14:textId="77777777" w:rsidR="00BE6367" w:rsidRDefault="00BE6367">
      <w:pPr>
        <w:spacing w:before="80" w:after="120"/>
        <w:jc w:val="both"/>
        <w:rPr>
          <w:rFonts w:ascii="Arial" w:eastAsia="Arial" w:hAnsi="Arial" w:cs="Arial"/>
          <w:sz w:val="20"/>
          <w:szCs w:val="20"/>
        </w:rPr>
      </w:pPr>
    </w:p>
    <w:p w14:paraId="0DC80271" w14:textId="77777777" w:rsidR="00BE6367" w:rsidRDefault="00C90F6A">
      <w:pPr>
        <w:pBdr>
          <w:bottom w:val="single" w:sz="4" w:space="2" w:color="1F3864"/>
        </w:pBdr>
        <w:spacing w:before="160" w:after="80"/>
        <w:jc w:val="both"/>
        <w:rPr>
          <w:rFonts w:ascii="Arial" w:eastAsia="Arial" w:hAnsi="Arial" w:cs="Arial"/>
          <w:sz w:val="20"/>
          <w:szCs w:val="20"/>
        </w:rPr>
      </w:pPr>
      <w:r>
        <w:rPr>
          <w:rFonts w:ascii="Arial" w:eastAsia="Arial" w:hAnsi="Arial" w:cs="Arial"/>
          <w:b/>
          <w:bCs/>
          <w:color w:val="1F3864"/>
          <w:sz w:val="20"/>
          <w:szCs w:val="20"/>
        </w:rPr>
        <w:t>SOLICITUD FINAL Y CONCLUSIÓN</w:t>
      </w:r>
    </w:p>
    <w:p w14:paraId="4D125B1A" w14:textId="77777777" w:rsidR="00BE6367" w:rsidRDefault="00C90F6A">
      <w:pPr>
        <w:spacing w:before="80" w:after="60"/>
        <w:jc w:val="both"/>
        <w:rPr>
          <w:rFonts w:ascii="Arial" w:eastAsia="Arial" w:hAnsi="Arial" w:cs="Arial"/>
          <w:sz w:val="20"/>
          <w:szCs w:val="20"/>
        </w:rPr>
      </w:pPr>
      <w:r>
        <w:rPr>
          <w:rFonts w:ascii="Arial" w:eastAsia="Arial" w:hAnsi="Arial" w:cs="Arial"/>
          <w:sz w:val="20"/>
          <w:szCs w:val="20"/>
        </w:rPr>
        <w:t>Solicitamos respetuosamente a la Procuraduría General de la Nación estudiar las presentes observaciones y aclaraciones, y ajustar el pliego de condiciones del proceso BMI-2026-527 en los puntos señalados. Los ajustes propuestos:</w:t>
      </w:r>
    </w:p>
    <w:p w14:paraId="543DDB2C" w14:textId="77777777" w:rsidR="00BE6367" w:rsidRDefault="00C90F6A">
      <w:pPr>
        <w:spacing w:before="40" w:after="40"/>
        <w:ind w:left="360"/>
        <w:jc w:val="both"/>
        <w:rPr>
          <w:rFonts w:ascii="Arial" w:eastAsia="Arial" w:hAnsi="Arial" w:cs="Arial"/>
          <w:sz w:val="20"/>
          <w:szCs w:val="20"/>
        </w:rPr>
      </w:pPr>
      <w:r>
        <w:rPr>
          <w:rFonts w:ascii="Arial" w:eastAsia="Arial" w:hAnsi="Arial" w:cs="Arial"/>
          <w:sz w:val="20"/>
          <w:szCs w:val="20"/>
        </w:rPr>
        <w:lastRenderedPageBreak/>
        <w:t>1. Garantizan condiciones de libre concurrencia y pluralidad de oferentes, de conformidad con los principios de la Ley 80 de 1993 y la Ley 1150 de 2007.</w:t>
      </w:r>
    </w:p>
    <w:p w14:paraId="640E01F2" w14:textId="77777777" w:rsidR="00BE6367" w:rsidRDefault="00C90F6A">
      <w:pPr>
        <w:spacing w:before="40" w:after="40"/>
        <w:ind w:left="360"/>
        <w:jc w:val="both"/>
        <w:rPr>
          <w:rFonts w:ascii="Arial" w:eastAsia="Arial" w:hAnsi="Arial" w:cs="Arial"/>
          <w:sz w:val="20"/>
          <w:szCs w:val="20"/>
        </w:rPr>
      </w:pPr>
      <w:r>
        <w:rPr>
          <w:rFonts w:ascii="Arial" w:eastAsia="Arial" w:hAnsi="Arial" w:cs="Arial"/>
          <w:sz w:val="20"/>
          <w:szCs w:val="20"/>
        </w:rPr>
        <w:t>2. Aseguran que los requisitos técnicos correspondan al estado real de la tecnología disponible en el mercado, conforme al Decreto 1082 de 2015.</w:t>
      </w:r>
    </w:p>
    <w:p w14:paraId="086D8E63" w14:textId="77777777" w:rsidR="00BE6367" w:rsidRDefault="00C90F6A">
      <w:pPr>
        <w:spacing w:before="40" w:after="40"/>
        <w:ind w:left="360"/>
        <w:jc w:val="both"/>
        <w:rPr>
          <w:rFonts w:ascii="Arial" w:eastAsia="Arial" w:hAnsi="Arial" w:cs="Arial"/>
          <w:sz w:val="20"/>
          <w:szCs w:val="20"/>
        </w:rPr>
      </w:pPr>
      <w:r>
        <w:rPr>
          <w:rFonts w:ascii="Arial" w:eastAsia="Arial" w:hAnsi="Arial" w:cs="Arial"/>
          <w:sz w:val="20"/>
          <w:szCs w:val="20"/>
        </w:rPr>
        <w:t>3. Eliminan ambigüedades que podrían llevar a evaluaciones incorrectas o inconsistentes entre los equipos ofertados.</w:t>
      </w:r>
    </w:p>
    <w:p w14:paraId="6DFC2DE6" w14:textId="77777777" w:rsidR="00BE6367" w:rsidRDefault="00C90F6A">
      <w:pPr>
        <w:spacing w:before="40"/>
        <w:ind w:left="360"/>
        <w:jc w:val="both"/>
        <w:rPr>
          <w:rFonts w:ascii="Arial" w:eastAsia="Arial" w:hAnsi="Arial" w:cs="Arial"/>
          <w:sz w:val="20"/>
          <w:szCs w:val="20"/>
        </w:rPr>
      </w:pPr>
      <w:r>
        <w:rPr>
          <w:rFonts w:ascii="Arial" w:eastAsia="Arial" w:hAnsi="Arial" w:cs="Arial"/>
          <w:sz w:val="20"/>
          <w:szCs w:val="20"/>
        </w:rPr>
        <w:t>4. Permiten a la entidad recibir la mayor cantidad posible de propuestas de calidad, maximizando el valor del gasto público.</w:t>
      </w:r>
    </w:p>
    <w:p w14:paraId="7E79CAC2" w14:textId="77777777" w:rsidR="00BE6367" w:rsidRDefault="00C90F6A">
      <w:pPr>
        <w:spacing w:before="80"/>
        <w:jc w:val="both"/>
        <w:rPr>
          <w:rFonts w:ascii="Arial" w:eastAsia="Arial" w:hAnsi="Arial" w:cs="Arial"/>
          <w:sz w:val="20"/>
          <w:szCs w:val="20"/>
        </w:rPr>
      </w:pPr>
      <w:r>
        <w:rPr>
          <w:rFonts w:ascii="Arial" w:eastAsia="Arial" w:hAnsi="Arial" w:cs="Arial"/>
          <w:sz w:val="20"/>
          <w:szCs w:val="20"/>
        </w:rPr>
        <w:t>Quedamos atentos a la respuesta de la entidad.</w:t>
      </w:r>
    </w:p>
    <w:p w14:paraId="21647E92" w14:textId="77777777" w:rsidR="00BE6367" w:rsidRDefault="00BE6367">
      <w:pPr>
        <w:jc w:val="both"/>
        <w:rPr>
          <w:rFonts w:ascii="Arial" w:eastAsia="Arial" w:hAnsi="Arial" w:cs="Arial"/>
          <w:sz w:val="20"/>
          <w:szCs w:val="20"/>
        </w:rPr>
      </w:pPr>
    </w:p>
    <w:tbl>
      <w:tblPr>
        <w:tblStyle w:val="a3"/>
        <w:tblW w:w="8353" w:type="dxa"/>
        <w:tblInd w:w="0"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1570"/>
        <w:gridCol w:w="6783"/>
      </w:tblGrid>
      <w:tr w:rsidR="00BE6367" w14:paraId="6D5537A7"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275877E3"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Sociedad C. B.:</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07FC18EF"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BURSAGAN S.A.</w:t>
            </w:r>
          </w:p>
        </w:tc>
      </w:tr>
      <w:tr w:rsidR="00BE6367" w14:paraId="12EF249C"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7944EFA9"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Fecha Registro:</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64AB191C"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2026-07-09 (09:59)</w:t>
            </w:r>
          </w:p>
        </w:tc>
      </w:tr>
    </w:tbl>
    <w:p w14:paraId="7B5C3B8D" w14:textId="77777777" w:rsidR="00BE6367" w:rsidRDefault="00BE6367">
      <w:pPr>
        <w:jc w:val="both"/>
        <w:rPr>
          <w:rFonts w:ascii="Arial" w:eastAsia="Arial" w:hAnsi="Arial" w:cs="Arial"/>
          <w:b/>
          <w:bCs/>
          <w:sz w:val="20"/>
          <w:szCs w:val="20"/>
        </w:rPr>
      </w:pPr>
    </w:p>
    <w:p w14:paraId="1C6589FC"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Documento de Condiciones Especiales (DCE)</w:t>
      </w:r>
    </w:p>
    <w:p w14:paraId="7E6B4277" w14:textId="77777777" w:rsidR="00BE6367" w:rsidRDefault="00BE6367">
      <w:pPr>
        <w:jc w:val="both"/>
        <w:rPr>
          <w:rFonts w:ascii="Arial" w:eastAsia="Arial" w:hAnsi="Arial" w:cs="Arial"/>
          <w:sz w:val="20"/>
          <w:szCs w:val="20"/>
        </w:rPr>
      </w:pPr>
    </w:p>
    <w:p w14:paraId="73E1B8BA"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3578AE2F"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71BF093A"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48D1F333" w14:textId="77777777" w:rsidR="00BE6367" w:rsidRDefault="00BE6367">
      <w:pPr>
        <w:jc w:val="both"/>
        <w:rPr>
          <w:rFonts w:ascii="Arial" w:eastAsia="Arial" w:hAnsi="Arial" w:cs="Arial"/>
          <w:sz w:val="20"/>
          <w:szCs w:val="20"/>
        </w:rPr>
      </w:pPr>
    </w:p>
    <w:p w14:paraId="396BD28E" w14:textId="77777777" w:rsidR="00BE6367" w:rsidRDefault="00BE6367">
      <w:pPr>
        <w:jc w:val="both"/>
        <w:rPr>
          <w:rFonts w:ascii="Arial" w:eastAsia="Arial" w:hAnsi="Arial" w:cs="Arial"/>
          <w:sz w:val="20"/>
          <w:szCs w:val="20"/>
        </w:rPr>
      </w:pPr>
    </w:p>
    <w:p w14:paraId="7879620E"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 xml:space="preserve">Documento(s) Adjunto(s): </w:t>
      </w:r>
    </w:p>
    <w:p w14:paraId="63B3B66F" w14:textId="77777777" w:rsidR="00BE6367" w:rsidRDefault="00BE6367">
      <w:pPr>
        <w:jc w:val="both"/>
        <w:rPr>
          <w:rFonts w:ascii="Arial" w:eastAsia="Arial" w:hAnsi="Arial" w:cs="Arial"/>
          <w:sz w:val="20"/>
          <w:szCs w:val="20"/>
        </w:rPr>
      </w:pPr>
    </w:p>
    <w:p w14:paraId="006AAA34" w14:textId="77777777" w:rsidR="00BE6367" w:rsidRDefault="00BE6367">
      <w:pPr>
        <w:jc w:val="both"/>
        <w:rPr>
          <w:rFonts w:ascii="Arial" w:eastAsia="Arial" w:hAnsi="Arial" w:cs="Arial"/>
          <w:sz w:val="20"/>
          <w:szCs w:val="20"/>
        </w:rPr>
      </w:pPr>
    </w:p>
    <w:p w14:paraId="17103342" w14:textId="77777777" w:rsidR="00BE6367" w:rsidRDefault="00BE6367">
      <w:pPr>
        <w:jc w:val="both"/>
        <w:rPr>
          <w:rFonts w:ascii="Arial" w:eastAsia="Arial" w:hAnsi="Arial" w:cs="Arial"/>
          <w:sz w:val="20"/>
          <w:szCs w:val="20"/>
        </w:rPr>
      </w:pPr>
    </w:p>
    <w:p w14:paraId="638B1E74"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Ficha Técnica de Negociación</w:t>
      </w:r>
    </w:p>
    <w:p w14:paraId="6B1C2550" w14:textId="77777777" w:rsidR="00BE6367" w:rsidRDefault="00BE6367">
      <w:pPr>
        <w:jc w:val="both"/>
        <w:rPr>
          <w:rFonts w:ascii="Arial" w:eastAsia="Arial" w:hAnsi="Arial" w:cs="Arial"/>
          <w:sz w:val="20"/>
          <w:szCs w:val="20"/>
        </w:rPr>
      </w:pPr>
    </w:p>
    <w:p w14:paraId="31D05610" w14:textId="77777777" w:rsidR="00BE6367" w:rsidRDefault="00BE6367">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p>
    <w:p w14:paraId="20828226" w14:textId="77777777" w:rsidR="00BE6367" w:rsidRDefault="00C90F6A">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r>
        <w:rPr>
          <w:rFonts w:ascii="Arial" w:eastAsia="Arial" w:hAnsi="Arial" w:cs="Arial"/>
          <w:sz w:val="20"/>
          <w:szCs w:val="20"/>
        </w:rPr>
        <w:t>Cordial saludo,</w:t>
      </w:r>
    </w:p>
    <w:p w14:paraId="49C7B994" w14:textId="77777777" w:rsidR="00BE6367" w:rsidRDefault="00BE6367">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p>
    <w:p w14:paraId="0E275170" w14:textId="77777777" w:rsidR="00BE6367" w:rsidRDefault="00C90F6A">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r>
        <w:rPr>
          <w:rFonts w:ascii="Arial" w:eastAsia="Arial" w:hAnsi="Arial" w:cs="Arial"/>
          <w:sz w:val="20"/>
          <w:szCs w:val="20"/>
        </w:rPr>
        <w:t>De manera atenta remito observaciones pertinentes para la presente negociación</w:t>
      </w:r>
    </w:p>
    <w:p w14:paraId="156BF408" w14:textId="77777777" w:rsidR="00BE6367" w:rsidRDefault="00BE6367">
      <w:pPr>
        <w:jc w:val="both"/>
        <w:rPr>
          <w:rFonts w:ascii="Arial" w:eastAsia="Arial" w:hAnsi="Arial" w:cs="Arial"/>
          <w:sz w:val="20"/>
          <w:szCs w:val="20"/>
        </w:rPr>
      </w:pPr>
    </w:p>
    <w:p w14:paraId="697D8F2D" w14:textId="77777777" w:rsidR="00BE6367" w:rsidRDefault="00BE6367">
      <w:pPr>
        <w:jc w:val="both"/>
        <w:rPr>
          <w:rFonts w:ascii="Arial" w:eastAsia="Arial" w:hAnsi="Arial" w:cs="Arial"/>
          <w:sz w:val="20"/>
          <w:szCs w:val="20"/>
        </w:rPr>
      </w:pPr>
    </w:p>
    <w:p w14:paraId="10EA9B00"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Documento(s) Adjunto(s): Sí</w:t>
      </w:r>
    </w:p>
    <w:p w14:paraId="134906D3" w14:textId="77777777" w:rsidR="00BE6367" w:rsidRDefault="00BE6367">
      <w:pPr>
        <w:jc w:val="both"/>
        <w:rPr>
          <w:rFonts w:ascii="Arial" w:eastAsia="Arial" w:hAnsi="Arial" w:cs="Arial"/>
          <w:sz w:val="20"/>
          <w:szCs w:val="20"/>
        </w:rPr>
      </w:pPr>
    </w:p>
    <w:p w14:paraId="73978C7D"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OBSERVACIONES TÉCNICAS</w:t>
      </w:r>
    </w:p>
    <w:p w14:paraId="17F58E53"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PROCURADURÍA GENERAL DE LA NACIÓN</w:t>
      </w:r>
    </w:p>
    <w:p w14:paraId="4261C3D2"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Proceso: Adquisición, Implementación y Soporte Tecnológico que incluya Soluciones Audiovisuales, Equipos de Cómputo y Periféricos</w:t>
      </w:r>
    </w:p>
    <w:p w14:paraId="3BA21593" w14:textId="77777777" w:rsidR="00BE6367" w:rsidRDefault="00C90F6A">
      <w:pPr>
        <w:jc w:val="both"/>
        <w:rPr>
          <w:rFonts w:ascii="Arial" w:eastAsia="Arial" w:hAnsi="Arial" w:cs="Arial"/>
          <w:sz w:val="20"/>
          <w:szCs w:val="20"/>
        </w:rPr>
      </w:pPr>
      <w:r>
        <w:rPr>
          <w:rFonts w:ascii="Arial" w:eastAsia="Arial" w:hAnsi="Arial" w:cs="Arial"/>
          <w:sz w:val="20"/>
          <w:szCs w:val="20"/>
        </w:rPr>
        <w:t>Respetados señores:</w:t>
      </w:r>
    </w:p>
    <w:p w14:paraId="54226A6A" w14:textId="77777777" w:rsidR="00BE6367" w:rsidRDefault="00C90F6A">
      <w:pPr>
        <w:jc w:val="both"/>
        <w:rPr>
          <w:rFonts w:ascii="Arial" w:eastAsia="Arial" w:hAnsi="Arial" w:cs="Arial"/>
          <w:sz w:val="20"/>
          <w:szCs w:val="20"/>
        </w:rPr>
      </w:pPr>
      <w:r>
        <w:rPr>
          <w:rFonts w:ascii="Arial" w:eastAsia="Arial" w:hAnsi="Arial" w:cs="Arial"/>
          <w:sz w:val="20"/>
          <w:szCs w:val="20"/>
        </w:rPr>
        <w:t>En atención al proyecto de especificaciones técnicas publicado, de manera respetuosa presentamos las siguientes observaciones con el propósito de promover la pluralidad de oferentes, la libre competencia y la selección objetiva, sin afectar las necesidades funcionales de la Entidad.</w:t>
      </w:r>
    </w:p>
    <w:p w14:paraId="47593F52" w14:textId="77777777" w:rsidR="00BE6367" w:rsidRDefault="00000000">
      <w:pPr>
        <w:jc w:val="both"/>
        <w:rPr>
          <w:rFonts w:ascii="Arial" w:eastAsia="Arial" w:hAnsi="Arial" w:cs="Arial"/>
          <w:sz w:val="20"/>
          <w:szCs w:val="20"/>
        </w:rPr>
      </w:pPr>
      <w:r>
        <w:pict w14:anchorId="08F3BB44">
          <v:rect id="_x0000_i1025" style="width:0;height:1.5pt" o:hralign="center" o:hrstd="t" o:hr="t" fillcolor="#a0a0a0" stroked="f"/>
        </w:pict>
      </w:r>
    </w:p>
    <w:p w14:paraId="45DF0C53"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 Certificación EPEAT GOLD</w:t>
      </w:r>
    </w:p>
    <w:p w14:paraId="18E89656"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Solicitamos a la Entidad incluir como requisito que los equipos ofertados cuenten con certificación </w:t>
      </w:r>
      <w:r>
        <w:rPr>
          <w:rFonts w:ascii="Arial" w:eastAsia="Arial" w:hAnsi="Arial" w:cs="Arial"/>
          <w:b/>
          <w:bCs/>
          <w:sz w:val="20"/>
          <w:szCs w:val="20"/>
        </w:rPr>
        <w:t>EPEAT GOLD</w:t>
      </w:r>
      <w:r>
        <w:rPr>
          <w:rFonts w:ascii="Arial" w:eastAsia="Arial" w:hAnsi="Arial" w:cs="Arial"/>
          <w:sz w:val="20"/>
          <w:szCs w:val="20"/>
        </w:rPr>
        <w:t>, considerando que este estándar constituye una garantía internacional de sostenibilidad ambiental y eficiencia energética.</w:t>
      </w:r>
    </w:p>
    <w:p w14:paraId="2DDC0DFA" w14:textId="77777777" w:rsidR="00BE6367" w:rsidRDefault="00C90F6A">
      <w:pPr>
        <w:jc w:val="both"/>
        <w:rPr>
          <w:rFonts w:ascii="Arial" w:eastAsia="Arial" w:hAnsi="Arial" w:cs="Arial"/>
          <w:sz w:val="20"/>
          <w:szCs w:val="20"/>
        </w:rPr>
      </w:pPr>
      <w:r>
        <w:rPr>
          <w:rFonts w:ascii="Arial" w:eastAsia="Arial" w:hAnsi="Arial" w:cs="Arial"/>
          <w:sz w:val="20"/>
          <w:szCs w:val="20"/>
        </w:rPr>
        <w:t>La inclusión de esta certificación fortalece el cumplimiento de las políticas públicas relacionadas con compras sostenibles, reducción de emisiones de carbono y protección ambiental, en concordancia con los compromisos adquiridos por Colombia en materia de cambio climático.</w:t>
      </w:r>
    </w:p>
    <w:p w14:paraId="6E10F427"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1B736F2F" w14:textId="77777777" w:rsidR="00BE6367" w:rsidRDefault="00BE6367">
      <w:pPr>
        <w:jc w:val="both"/>
        <w:rPr>
          <w:rFonts w:ascii="Arial" w:eastAsia="Arial" w:hAnsi="Arial" w:cs="Arial"/>
          <w:sz w:val="20"/>
          <w:szCs w:val="20"/>
        </w:rPr>
      </w:pPr>
    </w:p>
    <w:p w14:paraId="367D3105" w14:textId="77777777" w:rsidR="00BE6367" w:rsidRDefault="00C90F6A">
      <w:pPr>
        <w:jc w:val="both"/>
        <w:rPr>
          <w:rFonts w:ascii="Arial" w:eastAsia="Arial" w:hAnsi="Arial" w:cs="Arial"/>
          <w:sz w:val="20"/>
          <w:szCs w:val="20"/>
        </w:rPr>
      </w:pPr>
      <w:r>
        <w:rPr>
          <w:rFonts w:ascii="Arial" w:eastAsia="Arial" w:hAnsi="Arial" w:cs="Arial"/>
          <w:b/>
          <w:bCs/>
          <w:sz w:val="20"/>
          <w:szCs w:val="20"/>
        </w:rPr>
        <w:t>No se acepta la observación</w:t>
      </w:r>
      <w:r>
        <w:rPr>
          <w:rFonts w:ascii="Arial" w:eastAsia="Arial" w:hAnsi="Arial" w:cs="Arial"/>
          <w:sz w:val="20"/>
          <w:szCs w:val="20"/>
        </w:rPr>
        <w:t>, toda vez que la misma no expone de manera clara, concreta y suficientemente sustentada cuáles son los ítems de la ficha técnica de producto que deben contar con esta certificación. En consecuencia, al carecer de la precisión necesaria para identificar el alcance de la observación y evaluar su procedencia, la Entidad no cuenta con los elementos objetivos que permitan efectuar un análisis de fondo o adoptar los ajustes solicitados, razón por la cual se mantiene el requerimiento técnico inicial.</w:t>
      </w:r>
    </w:p>
    <w:p w14:paraId="7BCE6993" w14:textId="77777777" w:rsidR="00BE6367" w:rsidRDefault="00BE6367">
      <w:pPr>
        <w:jc w:val="both"/>
        <w:rPr>
          <w:rFonts w:ascii="Arial" w:eastAsia="Arial" w:hAnsi="Arial" w:cs="Arial"/>
          <w:sz w:val="20"/>
          <w:szCs w:val="20"/>
        </w:rPr>
      </w:pPr>
    </w:p>
    <w:p w14:paraId="38B527A9" w14:textId="77777777" w:rsidR="00BE6367" w:rsidRDefault="00BE6367">
      <w:pPr>
        <w:spacing w:after="0"/>
        <w:jc w:val="both"/>
        <w:rPr>
          <w:rFonts w:ascii="Arial" w:eastAsia="Arial" w:hAnsi="Arial" w:cs="Arial"/>
          <w:sz w:val="20"/>
          <w:szCs w:val="20"/>
        </w:rPr>
      </w:pPr>
    </w:p>
    <w:p w14:paraId="18BF5098" w14:textId="77777777" w:rsidR="00BE6367" w:rsidRDefault="00000000">
      <w:pPr>
        <w:jc w:val="both"/>
        <w:rPr>
          <w:rFonts w:ascii="Arial" w:eastAsia="Arial" w:hAnsi="Arial" w:cs="Arial"/>
          <w:sz w:val="20"/>
          <w:szCs w:val="20"/>
        </w:rPr>
      </w:pPr>
      <w:r>
        <w:pict w14:anchorId="0963D821">
          <v:rect id="_x0000_i1026" style="width:0;height:1.5pt" o:hralign="center" o:hrstd="t" o:hr="t" fillcolor="#a0a0a0" stroked="f"/>
        </w:pict>
      </w:r>
    </w:p>
    <w:p w14:paraId="7E8394A8"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2. Certificación EPEAT Climate+</w:t>
      </w:r>
    </w:p>
    <w:p w14:paraId="18EAEF23"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Solicitamos incorporar como requisito la certificación </w:t>
      </w:r>
      <w:r>
        <w:rPr>
          <w:rFonts w:ascii="Arial" w:eastAsia="Arial" w:hAnsi="Arial" w:cs="Arial"/>
          <w:b/>
          <w:bCs/>
          <w:sz w:val="20"/>
          <w:szCs w:val="20"/>
        </w:rPr>
        <w:t>EPEAT Climate+</w:t>
      </w:r>
      <w:r>
        <w:rPr>
          <w:rFonts w:ascii="Arial" w:eastAsia="Arial" w:hAnsi="Arial" w:cs="Arial"/>
          <w:sz w:val="20"/>
          <w:szCs w:val="20"/>
        </w:rPr>
        <w:t>, la cual acredita productos con menor impacto ambiental durante todo su ciclo de vida y evidencia el cumplimiento de criterios relacionados con:</w:t>
      </w:r>
    </w:p>
    <w:p w14:paraId="07E4E02B" w14:textId="77777777" w:rsidR="00BE6367" w:rsidRDefault="00C90F6A">
      <w:pPr>
        <w:numPr>
          <w:ilvl w:val="0"/>
          <w:numId w:val="12"/>
        </w:numPr>
        <w:jc w:val="both"/>
        <w:rPr>
          <w:rFonts w:ascii="Arial" w:eastAsia="Arial" w:hAnsi="Arial" w:cs="Arial"/>
        </w:rPr>
      </w:pPr>
      <w:r>
        <w:rPr>
          <w:rFonts w:ascii="Arial" w:eastAsia="Arial" w:hAnsi="Arial" w:cs="Arial"/>
          <w:sz w:val="20"/>
          <w:szCs w:val="20"/>
        </w:rPr>
        <w:t xml:space="preserve">Reducción de emisiones de gases efecto invernadero. </w:t>
      </w:r>
    </w:p>
    <w:p w14:paraId="72788BEA" w14:textId="77777777" w:rsidR="00BE6367" w:rsidRDefault="00C90F6A">
      <w:pPr>
        <w:numPr>
          <w:ilvl w:val="0"/>
          <w:numId w:val="12"/>
        </w:numPr>
        <w:jc w:val="both"/>
        <w:rPr>
          <w:rFonts w:ascii="Arial" w:eastAsia="Arial" w:hAnsi="Arial" w:cs="Arial"/>
        </w:rPr>
      </w:pPr>
      <w:r>
        <w:rPr>
          <w:rFonts w:ascii="Arial" w:eastAsia="Arial" w:hAnsi="Arial" w:cs="Arial"/>
          <w:sz w:val="20"/>
          <w:szCs w:val="20"/>
        </w:rPr>
        <w:lastRenderedPageBreak/>
        <w:t xml:space="preserve">Huella de carbono del producto. </w:t>
      </w:r>
    </w:p>
    <w:p w14:paraId="159C75FD" w14:textId="77777777" w:rsidR="00BE6367" w:rsidRDefault="00C90F6A">
      <w:pPr>
        <w:numPr>
          <w:ilvl w:val="0"/>
          <w:numId w:val="12"/>
        </w:numPr>
        <w:jc w:val="both"/>
        <w:rPr>
          <w:rFonts w:ascii="Arial" w:eastAsia="Arial" w:hAnsi="Arial" w:cs="Arial"/>
        </w:rPr>
      </w:pPr>
      <w:r>
        <w:rPr>
          <w:rFonts w:ascii="Arial" w:eastAsia="Arial" w:hAnsi="Arial" w:cs="Arial"/>
          <w:sz w:val="20"/>
          <w:szCs w:val="20"/>
        </w:rPr>
        <w:t xml:space="preserve">Uso de energías renovables. </w:t>
      </w:r>
    </w:p>
    <w:p w14:paraId="2E6726A1" w14:textId="77777777" w:rsidR="00BE6367" w:rsidRDefault="00C90F6A">
      <w:pPr>
        <w:numPr>
          <w:ilvl w:val="0"/>
          <w:numId w:val="12"/>
        </w:numPr>
        <w:jc w:val="both"/>
        <w:rPr>
          <w:rFonts w:ascii="Arial" w:eastAsia="Arial" w:hAnsi="Arial" w:cs="Arial"/>
        </w:rPr>
      </w:pPr>
      <w:r>
        <w:rPr>
          <w:rFonts w:ascii="Arial" w:eastAsia="Arial" w:hAnsi="Arial" w:cs="Arial"/>
          <w:sz w:val="20"/>
          <w:szCs w:val="20"/>
        </w:rPr>
        <w:t xml:space="preserve">Fabricación sostenible. </w:t>
      </w:r>
    </w:p>
    <w:p w14:paraId="4641BF69" w14:textId="77777777" w:rsidR="00BE6367" w:rsidRDefault="00C90F6A">
      <w:pPr>
        <w:numPr>
          <w:ilvl w:val="0"/>
          <w:numId w:val="12"/>
        </w:numPr>
        <w:jc w:val="both"/>
        <w:rPr>
          <w:rFonts w:ascii="Arial" w:eastAsia="Arial" w:hAnsi="Arial" w:cs="Arial"/>
        </w:rPr>
      </w:pPr>
      <w:r>
        <w:rPr>
          <w:rFonts w:ascii="Arial" w:eastAsia="Arial" w:hAnsi="Arial" w:cs="Arial"/>
          <w:sz w:val="20"/>
          <w:szCs w:val="20"/>
        </w:rPr>
        <w:t xml:space="preserve">Mayor eficiencia energética. </w:t>
      </w:r>
    </w:p>
    <w:p w14:paraId="6358FF93" w14:textId="77777777" w:rsidR="00BE6367" w:rsidRDefault="00C90F6A">
      <w:pPr>
        <w:jc w:val="both"/>
        <w:rPr>
          <w:rFonts w:ascii="Arial" w:eastAsia="Arial" w:hAnsi="Arial" w:cs="Arial"/>
          <w:sz w:val="20"/>
          <w:szCs w:val="20"/>
        </w:rPr>
      </w:pPr>
      <w:r>
        <w:rPr>
          <w:rFonts w:ascii="Arial" w:eastAsia="Arial" w:hAnsi="Arial" w:cs="Arial"/>
          <w:sz w:val="20"/>
          <w:szCs w:val="20"/>
        </w:rPr>
        <w:t>Esta certificación aporta valor agregado a la adquisición sin restringir la pluralidad del mercado.</w:t>
      </w:r>
    </w:p>
    <w:p w14:paraId="6851A1D6"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1EBA7D1D" w14:textId="77777777" w:rsidR="00BE6367" w:rsidRDefault="00C90F6A">
      <w:pPr>
        <w:jc w:val="both"/>
        <w:rPr>
          <w:rFonts w:ascii="Arial" w:eastAsia="Arial" w:hAnsi="Arial" w:cs="Arial"/>
          <w:sz w:val="20"/>
          <w:szCs w:val="20"/>
        </w:rPr>
      </w:pPr>
      <w:r>
        <w:rPr>
          <w:rFonts w:ascii="Arial" w:eastAsia="Arial" w:hAnsi="Arial" w:cs="Arial"/>
          <w:sz w:val="20"/>
          <w:szCs w:val="20"/>
        </w:rPr>
        <w:t>No se acepta la observación, toda vez que se precisa que la certificación EPEAT Climate+ ya se encuentra solicitada en la ficha técnica del producto, como parte de los requisitos ambientales definidos para el proceso.</w:t>
      </w:r>
    </w:p>
    <w:p w14:paraId="735E8A5D" w14:textId="77777777" w:rsidR="00BE6367" w:rsidRDefault="00BE6367">
      <w:pPr>
        <w:jc w:val="both"/>
        <w:rPr>
          <w:rFonts w:ascii="Arial" w:eastAsia="Arial" w:hAnsi="Arial" w:cs="Arial"/>
          <w:sz w:val="20"/>
          <w:szCs w:val="20"/>
        </w:rPr>
      </w:pPr>
    </w:p>
    <w:p w14:paraId="0CEF00E8" w14:textId="77777777" w:rsidR="00BE6367" w:rsidRDefault="00BE6367">
      <w:pPr>
        <w:jc w:val="both"/>
        <w:rPr>
          <w:rFonts w:ascii="Arial" w:eastAsia="Arial" w:hAnsi="Arial" w:cs="Arial"/>
          <w:sz w:val="20"/>
          <w:szCs w:val="20"/>
        </w:rPr>
      </w:pPr>
    </w:p>
    <w:p w14:paraId="48028625" w14:textId="77777777" w:rsidR="00BE6367" w:rsidRDefault="00BE6367">
      <w:pPr>
        <w:jc w:val="both"/>
        <w:rPr>
          <w:rFonts w:ascii="Arial" w:eastAsia="Arial" w:hAnsi="Arial" w:cs="Arial"/>
          <w:sz w:val="20"/>
          <w:szCs w:val="20"/>
        </w:rPr>
      </w:pPr>
    </w:p>
    <w:p w14:paraId="23E10652" w14:textId="77777777" w:rsidR="00BE6367" w:rsidRDefault="00BE6367">
      <w:pPr>
        <w:jc w:val="both"/>
        <w:rPr>
          <w:rFonts w:ascii="Arial" w:eastAsia="Arial" w:hAnsi="Arial" w:cs="Arial"/>
          <w:sz w:val="20"/>
          <w:szCs w:val="20"/>
        </w:rPr>
      </w:pPr>
    </w:p>
    <w:p w14:paraId="0ABC3934" w14:textId="77777777" w:rsidR="00BE6367" w:rsidRDefault="00000000">
      <w:pPr>
        <w:jc w:val="both"/>
        <w:rPr>
          <w:rFonts w:ascii="Arial" w:eastAsia="Arial" w:hAnsi="Arial" w:cs="Arial"/>
          <w:sz w:val="20"/>
          <w:szCs w:val="20"/>
        </w:rPr>
      </w:pPr>
      <w:r>
        <w:pict w14:anchorId="566714D9">
          <v:rect id="_x0000_i1027" style="width:0;height:1.5pt" o:hralign="center" o:hrstd="t" o:hr="t" fillcolor="#a0a0a0" stroked="f"/>
        </w:pict>
      </w:r>
    </w:p>
    <w:p w14:paraId="71EB4951"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3. Certificación MIL-STD-810H</w:t>
      </w:r>
    </w:p>
    <w:p w14:paraId="6A68A8ED"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Solicitamos incluir como requisito que los equipos cuenten con certificación </w:t>
      </w:r>
      <w:r>
        <w:rPr>
          <w:rFonts w:ascii="Arial" w:eastAsia="Arial" w:hAnsi="Arial" w:cs="Arial"/>
          <w:b/>
          <w:bCs/>
          <w:sz w:val="20"/>
          <w:szCs w:val="20"/>
        </w:rPr>
        <w:t>MIL-STD-810H</w:t>
      </w:r>
      <w:r>
        <w:rPr>
          <w:rFonts w:ascii="Arial" w:eastAsia="Arial" w:hAnsi="Arial" w:cs="Arial"/>
          <w:sz w:val="20"/>
          <w:szCs w:val="20"/>
        </w:rPr>
        <w:t>, por tratarse de una prueba reconocida internacionalmente que garantiza resistencia frente a golpes, vibraciones, humedad, polvo y variaciones de temperatura.</w:t>
      </w:r>
    </w:p>
    <w:p w14:paraId="4C2579B8" w14:textId="77777777" w:rsidR="00BE6367" w:rsidRDefault="00C90F6A">
      <w:pPr>
        <w:jc w:val="both"/>
        <w:rPr>
          <w:rFonts w:ascii="Arial" w:eastAsia="Arial" w:hAnsi="Arial" w:cs="Arial"/>
          <w:sz w:val="20"/>
          <w:szCs w:val="20"/>
        </w:rPr>
      </w:pPr>
      <w:r>
        <w:rPr>
          <w:rFonts w:ascii="Arial" w:eastAsia="Arial" w:hAnsi="Arial" w:cs="Arial"/>
          <w:sz w:val="20"/>
          <w:szCs w:val="20"/>
        </w:rPr>
        <w:t>Su inclusión contribuye a incrementar la vida útil de los equipos, reducir fallas y disminuir costos asociados a garantías y mantenimiento.</w:t>
      </w:r>
    </w:p>
    <w:p w14:paraId="54BB57B7"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3220F973" w14:textId="77777777" w:rsidR="00BE6367" w:rsidRDefault="00C90F6A">
      <w:pPr>
        <w:jc w:val="both"/>
        <w:rPr>
          <w:rFonts w:ascii="Arial" w:eastAsia="Arial" w:hAnsi="Arial" w:cs="Arial"/>
          <w:sz w:val="20"/>
          <w:szCs w:val="20"/>
        </w:rPr>
      </w:pPr>
      <w:r>
        <w:rPr>
          <w:rFonts w:ascii="Arial" w:eastAsia="Arial" w:hAnsi="Arial" w:cs="Arial"/>
          <w:b/>
          <w:bCs/>
          <w:sz w:val="20"/>
          <w:szCs w:val="20"/>
        </w:rPr>
        <w:t>No se acepta la observación</w:t>
      </w:r>
      <w:r>
        <w:rPr>
          <w:rFonts w:ascii="Arial" w:eastAsia="Arial" w:hAnsi="Arial" w:cs="Arial"/>
          <w:sz w:val="20"/>
          <w:szCs w:val="20"/>
        </w:rPr>
        <w:t>, toda vez que la misma no expone de manera clara, concreta y suficientemente sustentada cuáles son los ítems de la ficha técnica de producto que deben contar con esta certificación. En consecuencia, al carecer de la precisión necesaria para identificar el alcance de la observación y evaluar su procedencia, la Entidad no cuenta con los elementos objetivos que permitan efectuar un análisis de fondo o adoptar los ajustes solicitados, razón por la cual se mantiene el requerimiento técnico inicial.</w:t>
      </w:r>
    </w:p>
    <w:p w14:paraId="360E6ED2" w14:textId="77777777" w:rsidR="00BE6367" w:rsidRDefault="00000000">
      <w:pPr>
        <w:jc w:val="both"/>
        <w:rPr>
          <w:rFonts w:ascii="Arial" w:eastAsia="Arial" w:hAnsi="Arial" w:cs="Arial"/>
          <w:sz w:val="20"/>
          <w:szCs w:val="20"/>
        </w:rPr>
      </w:pPr>
      <w:r>
        <w:pict w14:anchorId="4B979EC6">
          <v:rect id="_x0000_i1028" style="width:0;height:1.5pt" o:hralign="center" o:hrstd="t" o:hr="t" fillcolor="#a0a0a0" stroked="f"/>
        </w:pict>
      </w:r>
    </w:p>
    <w:p w14:paraId="62BE310C"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OBSERVACIONES AIO</w:t>
      </w:r>
    </w:p>
    <w:p w14:paraId="356C937E"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4. Procesador</w:t>
      </w:r>
    </w:p>
    <w:p w14:paraId="21632576" w14:textId="77777777" w:rsidR="00BE6367" w:rsidRDefault="00C90F6A">
      <w:pPr>
        <w:jc w:val="both"/>
        <w:rPr>
          <w:rFonts w:ascii="Arial" w:eastAsia="Arial" w:hAnsi="Arial" w:cs="Arial"/>
          <w:sz w:val="20"/>
          <w:szCs w:val="20"/>
        </w:rPr>
      </w:pPr>
      <w:r>
        <w:rPr>
          <w:rFonts w:ascii="Arial" w:eastAsia="Arial" w:hAnsi="Arial" w:cs="Arial"/>
          <w:sz w:val="20"/>
          <w:szCs w:val="20"/>
        </w:rPr>
        <w:t>Solicitamos permitir la oferta de procesadores que cumplan como mínimo:</w:t>
      </w:r>
    </w:p>
    <w:p w14:paraId="73A0EDCA" w14:textId="77777777" w:rsidR="00BE6367" w:rsidRDefault="00C90F6A">
      <w:pPr>
        <w:numPr>
          <w:ilvl w:val="0"/>
          <w:numId w:val="23"/>
        </w:numPr>
        <w:jc w:val="both"/>
        <w:rPr>
          <w:rFonts w:ascii="Arial" w:eastAsia="Arial" w:hAnsi="Arial" w:cs="Arial"/>
        </w:rPr>
      </w:pPr>
      <w:r>
        <w:rPr>
          <w:rFonts w:ascii="Arial" w:eastAsia="Arial" w:hAnsi="Arial" w:cs="Arial"/>
          <w:sz w:val="20"/>
          <w:szCs w:val="20"/>
        </w:rPr>
        <w:t xml:space="preserve">Frecuencia Turbo de 5.0 GHz. </w:t>
      </w:r>
    </w:p>
    <w:p w14:paraId="7FCF5AFC" w14:textId="77777777" w:rsidR="00BE6367" w:rsidRDefault="00C90F6A">
      <w:pPr>
        <w:numPr>
          <w:ilvl w:val="0"/>
          <w:numId w:val="23"/>
        </w:numPr>
        <w:jc w:val="both"/>
        <w:rPr>
          <w:rFonts w:ascii="Arial" w:eastAsia="Arial" w:hAnsi="Arial" w:cs="Arial"/>
        </w:rPr>
      </w:pPr>
      <w:r>
        <w:rPr>
          <w:rFonts w:ascii="Arial" w:eastAsia="Arial" w:hAnsi="Arial" w:cs="Arial"/>
          <w:sz w:val="20"/>
          <w:szCs w:val="20"/>
        </w:rPr>
        <w:t xml:space="preserve">14 núcleos físicos. </w:t>
      </w:r>
    </w:p>
    <w:p w14:paraId="50E27872" w14:textId="77777777" w:rsidR="00BE6367" w:rsidRDefault="00C90F6A">
      <w:pPr>
        <w:numPr>
          <w:ilvl w:val="0"/>
          <w:numId w:val="23"/>
        </w:numPr>
        <w:jc w:val="both"/>
        <w:rPr>
          <w:rFonts w:ascii="Arial" w:eastAsia="Arial" w:hAnsi="Arial" w:cs="Arial"/>
        </w:rPr>
      </w:pPr>
      <w:r>
        <w:rPr>
          <w:rFonts w:ascii="Arial" w:eastAsia="Arial" w:hAnsi="Arial" w:cs="Arial"/>
          <w:sz w:val="20"/>
          <w:szCs w:val="20"/>
        </w:rPr>
        <w:t xml:space="preserve">Arquitectura de 64 bits. </w:t>
      </w:r>
    </w:p>
    <w:p w14:paraId="1B3393D8" w14:textId="77777777" w:rsidR="00BE6367" w:rsidRDefault="00C90F6A">
      <w:pPr>
        <w:numPr>
          <w:ilvl w:val="0"/>
          <w:numId w:val="23"/>
        </w:numPr>
        <w:jc w:val="both"/>
        <w:rPr>
          <w:rFonts w:ascii="Arial" w:eastAsia="Arial" w:hAnsi="Arial" w:cs="Arial"/>
        </w:rPr>
      </w:pPr>
      <w:r>
        <w:rPr>
          <w:rFonts w:ascii="Arial" w:eastAsia="Arial" w:hAnsi="Arial" w:cs="Arial"/>
          <w:sz w:val="20"/>
          <w:szCs w:val="20"/>
        </w:rPr>
        <w:lastRenderedPageBreak/>
        <w:t xml:space="preserve">Caché L2 mínima de 24 MB. </w:t>
      </w:r>
    </w:p>
    <w:p w14:paraId="24BB848F" w14:textId="77777777" w:rsidR="00BE6367" w:rsidRDefault="00C90F6A">
      <w:pPr>
        <w:jc w:val="both"/>
        <w:rPr>
          <w:rFonts w:ascii="Arial" w:eastAsia="Arial" w:hAnsi="Arial" w:cs="Arial"/>
          <w:sz w:val="20"/>
          <w:szCs w:val="20"/>
        </w:rPr>
      </w:pPr>
      <w:r>
        <w:rPr>
          <w:rFonts w:ascii="Arial" w:eastAsia="Arial" w:hAnsi="Arial" w:cs="Arial"/>
          <w:sz w:val="20"/>
          <w:szCs w:val="20"/>
        </w:rPr>
        <w:t>Estas características garantizan el desempeño requerido por la Entidad sin restringir la participación de fabricantes.</w:t>
      </w:r>
    </w:p>
    <w:p w14:paraId="48D9398A"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508149EF" w14:textId="77777777" w:rsidR="00BE6367" w:rsidRDefault="00C90F6A">
      <w:pPr>
        <w:jc w:val="both"/>
        <w:rPr>
          <w:rFonts w:ascii="Arial" w:eastAsia="Arial" w:hAnsi="Arial" w:cs="Arial"/>
          <w:sz w:val="20"/>
          <w:szCs w:val="20"/>
        </w:rPr>
      </w:pPr>
      <w:r>
        <w:rPr>
          <w:rFonts w:ascii="Arial" w:eastAsia="Arial" w:hAnsi="Arial" w:cs="Arial"/>
          <w:sz w:val="20"/>
          <w:szCs w:val="20"/>
        </w:rPr>
        <w:t>No se acoge la observación. Los requisitos técnicos definidos en la ficha corresponden a los mínimos necesarios para garantizar el desempeño, compatibilidad y funcionalidad de los equipos solicitados, en concordancia con las necesidades de la Entidad.</w:t>
      </w:r>
    </w:p>
    <w:p w14:paraId="0AFE37C2" w14:textId="77777777" w:rsidR="00BE6367" w:rsidRDefault="00C90F6A">
      <w:pPr>
        <w:jc w:val="both"/>
        <w:rPr>
          <w:rFonts w:ascii="Arial" w:eastAsia="Arial" w:hAnsi="Arial" w:cs="Arial"/>
          <w:sz w:val="20"/>
          <w:szCs w:val="20"/>
        </w:rPr>
      </w:pPr>
      <w:r>
        <w:rPr>
          <w:rFonts w:ascii="Arial" w:eastAsia="Arial" w:hAnsi="Arial" w:cs="Arial"/>
          <w:sz w:val="20"/>
          <w:szCs w:val="20"/>
        </w:rPr>
        <w:t>Las especificaciones establecidas para el procesador aseguran que los equipos ofertados cuenten con la capacidad de procesamiento requerida para soportar las aplicaciones y cargas de trabajo previstas, manteniendo la coherencia técnica del pliego.</w:t>
      </w:r>
    </w:p>
    <w:p w14:paraId="55ADD076" w14:textId="77777777" w:rsidR="00BE6367" w:rsidRDefault="00C90F6A">
      <w:pPr>
        <w:jc w:val="both"/>
        <w:rPr>
          <w:rFonts w:ascii="Arial" w:eastAsia="Arial" w:hAnsi="Arial" w:cs="Arial"/>
          <w:sz w:val="20"/>
          <w:szCs w:val="20"/>
        </w:rPr>
      </w:pPr>
      <w:r>
        <w:rPr>
          <w:rFonts w:ascii="Arial" w:eastAsia="Arial" w:hAnsi="Arial" w:cs="Arial"/>
          <w:sz w:val="20"/>
          <w:szCs w:val="20"/>
        </w:rPr>
        <w:t>Se aclara además que existe pluralidad de fabricantes en el mercado que cumplen con estos parámetros, lo que garantiza la libre concurrencia y la selección objetiva dentro del proceso.</w:t>
      </w:r>
    </w:p>
    <w:p w14:paraId="0823278C" w14:textId="77777777" w:rsidR="00BE6367" w:rsidRDefault="00000000">
      <w:pPr>
        <w:jc w:val="both"/>
        <w:rPr>
          <w:rFonts w:ascii="Arial" w:eastAsia="Arial" w:hAnsi="Arial" w:cs="Arial"/>
          <w:sz w:val="20"/>
          <w:szCs w:val="20"/>
        </w:rPr>
      </w:pPr>
      <w:r>
        <w:pict w14:anchorId="12B2F8E2">
          <v:rect id="_x0000_i1029" style="width:0;height:1.5pt" o:hralign="center" o:hrstd="t" o:hr="t" fillcolor="#a0a0a0" stroked="f"/>
        </w:pict>
      </w:r>
    </w:p>
    <w:p w14:paraId="47B0CFD2"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5. Integración con plataformas existentes</w:t>
      </w:r>
    </w:p>
    <w:p w14:paraId="65217A56" w14:textId="77777777" w:rsidR="00BE6367" w:rsidRDefault="00C90F6A">
      <w:pPr>
        <w:jc w:val="both"/>
        <w:rPr>
          <w:rFonts w:ascii="Arial" w:eastAsia="Arial" w:hAnsi="Arial" w:cs="Arial"/>
          <w:sz w:val="20"/>
          <w:szCs w:val="20"/>
        </w:rPr>
      </w:pPr>
      <w:r>
        <w:rPr>
          <w:rFonts w:ascii="Arial" w:eastAsia="Arial" w:hAnsi="Arial" w:cs="Arial"/>
          <w:sz w:val="20"/>
          <w:szCs w:val="20"/>
        </w:rPr>
        <w:t>Solicitamos aclarar el alcance del requisito relacionado con la integración de las herramientas de administración con plataformas EDR/XDR, consolas de gestión y soluciones existentes.</w:t>
      </w:r>
    </w:p>
    <w:p w14:paraId="505F2748" w14:textId="77777777" w:rsidR="00BE6367" w:rsidRDefault="00C90F6A">
      <w:pPr>
        <w:jc w:val="both"/>
        <w:rPr>
          <w:rFonts w:ascii="Arial" w:eastAsia="Arial" w:hAnsi="Arial" w:cs="Arial"/>
          <w:sz w:val="20"/>
          <w:szCs w:val="20"/>
        </w:rPr>
      </w:pPr>
      <w:r>
        <w:rPr>
          <w:rFonts w:ascii="Arial" w:eastAsia="Arial" w:hAnsi="Arial" w:cs="Arial"/>
          <w:sz w:val="20"/>
          <w:szCs w:val="20"/>
        </w:rPr>
        <w:t>Igualmente, solicitamos confirmar que la Entidad suministrará:</w:t>
      </w:r>
    </w:p>
    <w:p w14:paraId="6D72E087" w14:textId="77777777" w:rsidR="00BE6367" w:rsidRDefault="00C90F6A">
      <w:pPr>
        <w:numPr>
          <w:ilvl w:val="0"/>
          <w:numId w:val="34"/>
        </w:numPr>
        <w:jc w:val="both"/>
        <w:rPr>
          <w:rFonts w:ascii="Arial" w:eastAsia="Arial" w:hAnsi="Arial" w:cs="Arial"/>
        </w:rPr>
      </w:pPr>
      <w:r>
        <w:rPr>
          <w:rFonts w:ascii="Arial" w:eastAsia="Arial" w:hAnsi="Arial" w:cs="Arial"/>
          <w:sz w:val="20"/>
          <w:szCs w:val="20"/>
        </w:rPr>
        <w:t xml:space="preserve">Documentación técnica. </w:t>
      </w:r>
    </w:p>
    <w:p w14:paraId="6B1C800B" w14:textId="77777777" w:rsidR="00BE6367" w:rsidRDefault="00C90F6A">
      <w:pPr>
        <w:numPr>
          <w:ilvl w:val="0"/>
          <w:numId w:val="34"/>
        </w:numPr>
        <w:jc w:val="both"/>
        <w:rPr>
          <w:rFonts w:ascii="Arial" w:eastAsia="Arial" w:hAnsi="Arial" w:cs="Arial"/>
        </w:rPr>
      </w:pPr>
      <w:r>
        <w:rPr>
          <w:rFonts w:ascii="Arial" w:eastAsia="Arial" w:hAnsi="Arial" w:cs="Arial"/>
          <w:sz w:val="20"/>
          <w:szCs w:val="20"/>
        </w:rPr>
        <w:t xml:space="preserve">APIs. </w:t>
      </w:r>
    </w:p>
    <w:p w14:paraId="3F692081" w14:textId="77777777" w:rsidR="00BE6367" w:rsidRDefault="00C90F6A">
      <w:pPr>
        <w:numPr>
          <w:ilvl w:val="0"/>
          <w:numId w:val="34"/>
        </w:numPr>
        <w:jc w:val="both"/>
        <w:rPr>
          <w:rFonts w:ascii="Arial" w:eastAsia="Arial" w:hAnsi="Arial" w:cs="Arial"/>
        </w:rPr>
      </w:pPr>
      <w:r>
        <w:rPr>
          <w:rFonts w:ascii="Arial" w:eastAsia="Arial" w:hAnsi="Arial" w:cs="Arial"/>
          <w:sz w:val="20"/>
          <w:szCs w:val="20"/>
        </w:rPr>
        <w:t xml:space="preserve">Credenciales. </w:t>
      </w:r>
    </w:p>
    <w:p w14:paraId="3F10CE1A" w14:textId="77777777" w:rsidR="00BE6367" w:rsidRDefault="00C90F6A">
      <w:pPr>
        <w:numPr>
          <w:ilvl w:val="0"/>
          <w:numId w:val="34"/>
        </w:numPr>
        <w:jc w:val="both"/>
        <w:rPr>
          <w:rFonts w:ascii="Arial" w:eastAsia="Arial" w:hAnsi="Arial" w:cs="Arial"/>
        </w:rPr>
      </w:pPr>
      <w:r>
        <w:rPr>
          <w:rFonts w:ascii="Arial" w:eastAsia="Arial" w:hAnsi="Arial" w:cs="Arial"/>
          <w:sz w:val="20"/>
          <w:szCs w:val="20"/>
        </w:rPr>
        <w:t xml:space="preserve">Ambientes de prueba. </w:t>
      </w:r>
    </w:p>
    <w:p w14:paraId="02BFA21A" w14:textId="77777777" w:rsidR="00BE6367" w:rsidRDefault="00C90F6A">
      <w:pPr>
        <w:numPr>
          <w:ilvl w:val="0"/>
          <w:numId w:val="34"/>
        </w:numPr>
        <w:jc w:val="both"/>
        <w:rPr>
          <w:rFonts w:ascii="Arial" w:eastAsia="Arial" w:hAnsi="Arial" w:cs="Arial"/>
        </w:rPr>
      </w:pPr>
      <w:r>
        <w:rPr>
          <w:rFonts w:ascii="Arial" w:eastAsia="Arial" w:hAnsi="Arial" w:cs="Arial"/>
          <w:sz w:val="20"/>
          <w:szCs w:val="20"/>
        </w:rPr>
        <w:t xml:space="preserve">Acompañamiento técnico. </w:t>
      </w:r>
    </w:p>
    <w:p w14:paraId="0CBA6D15" w14:textId="77777777" w:rsidR="00BE6367" w:rsidRDefault="00C90F6A">
      <w:pPr>
        <w:jc w:val="both"/>
        <w:rPr>
          <w:rFonts w:ascii="Arial" w:eastAsia="Arial" w:hAnsi="Arial" w:cs="Arial"/>
          <w:sz w:val="20"/>
          <w:szCs w:val="20"/>
        </w:rPr>
      </w:pPr>
      <w:r>
        <w:rPr>
          <w:rFonts w:ascii="Arial" w:eastAsia="Arial" w:hAnsi="Arial" w:cs="Arial"/>
          <w:sz w:val="20"/>
          <w:szCs w:val="20"/>
        </w:rPr>
        <w:t>Lo anterior permitirá realizar una integración exitosa y evitar riesgos derivados de restricciones propias de las plataformas existentes.</w:t>
      </w:r>
    </w:p>
    <w:p w14:paraId="66F7637E"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3BB0D7B1" w14:textId="77777777" w:rsidR="00BE6367" w:rsidRDefault="00C90F6A">
      <w:pPr>
        <w:jc w:val="both"/>
        <w:rPr>
          <w:rFonts w:ascii="Arial" w:eastAsia="Arial" w:hAnsi="Arial" w:cs="Arial"/>
          <w:sz w:val="20"/>
          <w:szCs w:val="20"/>
        </w:rPr>
      </w:pPr>
      <w:r>
        <w:rPr>
          <w:rFonts w:ascii="Arial" w:eastAsia="Arial" w:hAnsi="Arial" w:cs="Arial"/>
          <w:sz w:val="20"/>
          <w:szCs w:val="20"/>
        </w:rPr>
        <w:t>Se aclara que el requisito establecido corresponde a la necesidad de que la herramienta permita la administración e integración con plataformas de gestión remota fuera de banda, incluyendo funciones de KVM, y que adicionalmente posibilite la orquestación con Microsoft Intune.</w:t>
      </w:r>
    </w:p>
    <w:p w14:paraId="0A4F86AF" w14:textId="77777777" w:rsidR="00BE6367" w:rsidRDefault="00C90F6A">
      <w:pPr>
        <w:jc w:val="both"/>
        <w:rPr>
          <w:rFonts w:ascii="Arial" w:eastAsia="Arial" w:hAnsi="Arial" w:cs="Arial"/>
          <w:sz w:val="20"/>
          <w:szCs w:val="20"/>
        </w:rPr>
      </w:pPr>
      <w:r>
        <w:rPr>
          <w:rFonts w:ascii="Arial" w:eastAsia="Arial" w:hAnsi="Arial" w:cs="Arial"/>
          <w:sz w:val="20"/>
          <w:szCs w:val="20"/>
        </w:rPr>
        <w:t>No se acoge la observación, toda vez que este alcance ya está definido en la ficha técnica y constituye un parámetro mínimo solicitado para garantizar la interoperabilidad con las plataformas de gestión utilizadas por la Entidad.</w:t>
      </w:r>
    </w:p>
    <w:p w14:paraId="27EE91D6" w14:textId="77777777" w:rsidR="00BE6367" w:rsidRDefault="00000000">
      <w:pPr>
        <w:jc w:val="both"/>
        <w:rPr>
          <w:rFonts w:ascii="Arial" w:eastAsia="Arial" w:hAnsi="Arial" w:cs="Arial"/>
          <w:sz w:val="20"/>
          <w:szCs w:val="20"/>
        </w:rPr>
      </w:pPr>
      <w:r>
        <w:pict w14:anchorId="7702BF9A">
          <v:rect id="_x0000_i1030" style="width:0;height:1.5pt" o:hralign="center" o:hrstd="t" o:hr="t" fillcolor="#a0a0a0" stroked="f"/>
        </w:pict>
      </w:r>
    </w:p>
    <w:p w14:paraId="065D834E"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6. Función Pivot</w:t>
      </w:r>
    </w:p>
    <w:p w14:paraId="4C830287"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Solicitamos eliminar el requisito de rotación </w:t>
      </w:r>
      <w:r>
        <w:rPr>
          <w:rFonts w:ascii="Arial" w:eastAsia="Arial" w:hAnsi="Arial" w:cs="Arial"/>
          <w:b/>
          <w:bCs/>
          <w:sz w:val="20"/>
          <w:szCs w:val="20"/>
        </w:rPr>
        <w:t>Pivot</w:t>
      </w:r>
      <w:r>
        <w:rPr>
          <w:rFonts w:ascii="Arial" w:eastAsia="Arial" w:hAnsi="Arial" w:cs="Arial"/>
          <w:sz w:val="20"/>
          <w:szCs w:val="20"/>
        </w:rPr>
        <w:t xml:space="preserve"> para los equipos All in One.</w:t>
      </w:r>
    </w:p>
    <w:p w14:paraId="5904E1EA"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Esta característica no constituye una funcionalidad esencial para la operación institucional y limita significativamente la participación de fabricantes, favoreciendo indirectamente un número reducido de soluciones disponibles en el mercado.</w:t>
      </w:r>
    </w:p>
    <w:p w14:paraId="2B5BA4ED"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75D2E68B" w14:textId="77777777" w:rsidR="00BE6367" w:rsidRDefault="00C90F6A">
      <w:pPr>
        <w:jc w:val="both"/>
        <w:rPr>
          <w:rFonts w:ascii="Arial" w:eastAsia="Arial" w:hAnsi="Arial" w:cs="Arial"/>
          <w:sz w:val="20"/>
          <w:szCs w:val="20"/>
        </w:rPr>
      </w:pPr>
      <w:r>
        <w:rPr>
          <w:rFonts w:ascii="Arial" w:eastAsia="Arial" w:hAnsi="Arial" w:cs="Arial"/>
          <w:sz w:val="20"/>
          <w:szCs w:val="20"/>
        </w:rPr>
        <w:t>No se acoge la observación. El requisito de rotación Pivot hace parte de las características técnicas mínimas solicitadas para los equipos All in One, en atención a las necesidades de flexibilidad, ergonomía y adaptabilidad en los entornos de trabajo de la Entidad.</w:t>
      </w:r>
    </w:p>
    <w:p w14:paraId="36E36985" w14:textId="77777777" w:rsidR="00BE6367" w:rsidRDefault="00C90F6A">
      <w:pPr>
        <w:jc w:val="both"/>
        <w:rPr>
          <w:rFonts w:ascii="Arial" w:eastAsia="Arial" w:hAnsi="Arial" w:cs="Arial"/>
          <w:sz w:val="20"/>
          <w:szCs w:val="20"/>
        </w:rPr>
      </w:pPr>
      <w:r>
        <w:rPr>
          <w:rFonts w:ascii="Arial" w:eastAsia="Arial" w:hAnsi="Arial" w:cs="Arial"/>
          <w:sz w:val="20"/>
          <w:szCs w:val="20"/>
        </w:rPr>
        <w:t>Se precisa que este parámetro no limita la participación, toda vez que en el mercado existe pluralidad de fabricantes y referencias que cumplen con esta condición, garantizando así la libre concurrencia y la selección objetiva dentro del proceso.</w:t>
      </w:r>
    </w:p>
    <w:p w14:paraId="4D53D314" w14:textId="77777777" w:rsidR="00BE6367" w:rsidRDefault="00C90F6A">
      <w:pPr>
        <w:jc w:val="both"/>
        <w:rPr>
          <w:rFonts w:ascii="Arial" w:eastAsia="Arial" w:hAnsi="Arial" w:cs="Arial"/>
          <w:sz w:val="20"/>
          <w:szCs w:val="20"/>
        </w:rPr>
      </w:pPr>
      <w:r>
        <w:rPr>
          <w:rFonts w:ascii="Arial" w:eastAsia="Arial" w:hAnsi="Arial" w:cs="Arial"/>
          <w:sz w:val="20"/>
          <w:szCs w:val="20"/>
        </w:rPr>
        <w:t>De esta manera se mantiene la coherencia técnica del pliego y se asegura que los equipos ofertados respondan plenamente a las condiciones de uso y desempeño requeridas.</w:t>
      </w:r>
    </w:p>
    <w:p w14:paraId="23D59636" w14:textId="77777777" w:rsidR="00BE6367" w:rsidRDefault="00000000">
      <w:pPr>
        <w:jc w:val="both"/>
        <w:rPr>
          <w:rFonts w:ascii="Arial" w:eastAsia="Arial" w:hAnsi="Arial" w:cs="Arial"/>
          <w:sz w:val="20"/>
          <w:szCs w:val="20"/>
        </w:rPr>
      </w:pPr>
      <w:r>
        <w:pict w14:anchorId="3F7D7E6B">
          <v:rect id="_x0000_i1031" style="width:0;height:1.5pt" o:hralign="center" o:hrstd="t" o:hr="t" fillcolor="#a0a0a0" stroked="f"/>
        </w:pict>
      </w:r>
    </w:p>
    <w:p w14:paraId="53F05754"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7. Tecnología del SSD</w:t>
      </w:r>
    </w:p>
    <w:p w14:paraId="465316D2"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Solicitamos aceptar unidades SSD con memoria </w:t>
      </w:r>
      <w:r>
        <w:rPr>
          <w:rFonts w:ascii="Arial" w:eastAsia="Arial" w:hAnsi="Arial" w:cs="Arial"/>
          <w:b/>
          <w:bCs/>
          <w:sz w:val="20"/>
          <w:szCs w:val="20"/>
        </w:rPr>
        <w:t>QLC o superior</w:t>
      </w:r>
      <w:r>
        <w:rPr>
          <w:rFonts w:ascii="Arial" w:eastAsia="Arial" w:hAnsi="Arial" w:cs="Arial"/>
          <w:sz w:val="20"/>
          <w:szCs w:val="20"/>
        </w:rPr>
        <w:t>, siempre que cumplan con los requisitos de capacidad, rendimiento y garantía.</w:t>
      </w:r>
    </w:p>
    <w:p w14:paraId="7C9F3FF1" w14:textId="77777777" w:rsidR="00BE6367" w:rsidRDefault="00C90F6A">
      <w:pPr>
        <w:jc w:val="both"/>
        <w:rPr>
          <w:rFonts w:ascii="Arial" w:eastAsia="Arial" w:hAnsi="Arial" w:cs="Arial"/>
          <w:sz w:val="20"/>
          <w:szCs w:val="20"/>
        </w:rPr>
      </w:pPr>
      <w:r>
        <w:rPr>
          <w:rFonts w:ascii="Arial" w:eastAsia="Arial" w:hAnsi="Arial" w:cs="Arial"/>
          <w:sz w:val="20"/>
          <w:szCs w:val="20"/>
        </w:rPr>
        <w:t>La tecnología QLC actualmente ofrece:</w:t>
      </w:r>
    </w:p>
    <w:p w14:paraId="0464EF99" w14:textId="77777777" w:rsidR="00BE6367" w:rsidRDefault="00C90F6A">
      <w:pPr>
        <w:numPr>
          <w:ilvl w:val="0"/>
          <w:numId w:val="45"/>
        </w:numPr>
        <w:jc w:val="both"/>
        <w:rPr>
          <w:rFonts w:ascii="Arial" w:eastAsia="Arial" w:hAnsi="Arial" w:cs="Arial"/>
        </w:rPr>
      </w:pPr>
      <w:r>
        <w:rPr>
          <w:rFonts w:ascii="Arial" w:eastAsia="Arial" w:hAnsi="Arial" w:cs="Arial"/>
          <w:sz w:val="20"/>
          <w:szCs w:val="20"/>
        </w:rPr>
        <w:t xml:space="preserve">Alta confiabilidad. </w:t>
      </w:r>
    </w:p>
    <w:p w14:paraId="2F487B8D" w14:textId="77777777" w:rsidR="00BE6367" w:rsidRDefault="00C90F6A">
      <w:pPr>
        <w:numPr>
          <w:ilvl w:val="0"/>
          <w:numId w:val="45"/>
        </w:numPr>
        <w:jc w:val="both"/>
        <w:rPr>
          <w:rFonts w:ascii="Arial" w:eastAsia="Arial" w:hAnsi="Arial" w:cs="Arial"/>
        </w:rPr>
      </w:pPr>
      <w:r>
        <w:rPr>
          <w:rFonts w:ascii="Arial" w:eastAsia="Arial" w:hAnsi="Arial" w:cs="Arial"/>
          <w:sz w:val="20"/>
          <w:szCs w:val="20"/>
        </w:rPr>
        <w:t xml:space="preserve">Excelente desempeño para ambientes corporativos. </w:t>
      </w:r>
    </w:p>
    <w:p w14:paraId="0AB8A831" w14:textId="77777777" w:rsidR="00BE6367" w:rsidRDefault="00C90F6A">
      <w:pPr>
        <w:numPr>
          <w:ilvl w:val="0"/>
          <w:numId w:val="45"/>
        </w:numPr>
        <w:jc w:val="both"/>
        <w:rPr>
          <w:rFonts w:ascii="Arial" w:eastAsia="Arial" w:hAnsi="Arial" w:cs="Arial"/>
        </w:rPr>
      </w:pPr>
      <w:r>
        <w:rPr>
          <w:rFonts w:ascii="Arial" w:eastAsia="Arial" w:hAnsi="Arial" w:cs="Arial"/>
          <w:sz w:val="20"/>
          <w:szCs w:val="20"/>
        </w:rPr>
        <w:t xml:space="preserve">Mayor capacidad de almacenamiento. </w:t>
      </w:r>
    </w:p>
    <w:p w14:paraId="69191CB7" w14:textId="77777777" w:rsidR="00BE6367" w:rsidRDefault="00C90F6A">
      <w:pPr>
        <w:numPr>
          <w:ilvl w:val="0"/>
          <w:numId w:val="45"/>
        </w:numPr>
        <w:jc w:val="both"/>
        <w:rPr>
          <w:rFonts w:ascii="Arial" w:eastAsia="Arial" w:hAnsi="Arial" w:cs="Arial"/>
        </w:rPr>
      </w:pPr>
      <w:r>
        <w:rPr>
          <w:rFonts w:ascii="Arial" w:eastAsia="Arial" w:hAnsi="Arial" w:cs="Arial"/>
          <w:sz w:val="20"/>
          <w:szCs w:val="20"/>
        </w:rPr>
        <w:t xml:space="preserve">Mejor relación costo-beneficio. </w:t>
      </w:r>
    </w:p>
    <w:p w14:paraId="036F8C2C" w14:textId="77777777" w:rsidR="00BE6367" w:rsidRDefault="00C90F6A">
      <w:pPr>
        <w:jc w:val="both"/>
        <w:rPr>
          <w:rFonts w:ascii="Arial" w:eastAsia="Arial" w:hAnsi="Arial" w:cs="Arial"/>
          <w:sz w:val="20"/>
          <w:szCs w:val="20"/>
        </w:rPr>
      </w:pPr>
      <w:r>
        <w:rPr>
          <w:rFonts w:ascii="Arial" w:eastAsia="Arial" w:hAnsi="Arial" w:cs="Arial"/>
          <w:sz w:val="20"/>
          <w:szCs w:val="20"/>
        </w:rPr>
        <w:t>La exigencia exclusiva de memoria TLC restringe innecesariamente la participación de oferentes.</w:t>
      </w:r>
    </w:p>
    <w:p w14:paraId="696138D7" w14:textId="77777777" w:rsidR="00BE6367" w:rsidRDefault="00BE6367">
      <w:pPr>
        <w:jc w:val="both"/>
        <w:rPr>
          <w:rFonts w:ascii="Arial" w:eastAsia="Arial" w:hAnsi="Arial" w:cs="Arial"/>
          <w:sz w:val="20"/>
          <w:szCs w:val="20"/>
        </w:rPr>
      </w:pPr>
    </w:p>
    <w:p w14:paraId="51CE8D89"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7C189D27"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Se acoge parcialmente la observación. Se precisa que se permitirá el uso de memorias con tecnología </w:t>
      </w:r>
      <w:r>
        <w:rPr>
          <w:rFonts w:ascii="Arial" w:eastAsia="Arial" w:hAnsi="Arial" w:cs="Arial"/>
          <w:b/>
          <w:bCs/>
          <w:sz w:val="20"/>
          <w:szCs w:val="20"/>
        </w:rPr>
        <w:t>TLC o QLC</w:t>
      </w:r>
      <w:r>
        <w:rPr>
          <w:rFonts w:ascii="Arial" w:eastAsia="Arial" w:hAnsi="Arial" w:cs="Arial"/>
          <w:sz w:val="20"/>
          <w:szCs w:val="20"/>
        </w:rPr>
        <w:t>, siempre que cuenten con parte número o SKU original del fabricante del equipo. Se aclara que el disco debe ser original e instalado desde la fabricación del equipo, garantizando así la trazabilidad y autenticidad del componente.</w:t>
      </w:r>
    </w:p>
    <w:p w14:paraId="5751DFF2" w14:textId="77777777" w:rsidR="00BE6367" w:rsidRDefault="00C90F6A">
      <w:pPr>
        <w:jc w:val="both"/>
        <w:rPr>
          <w:rFonts w:ascii="Arial" w:eastAsia="Arial" w:hAnsi="Arial" w:cs="Arial"/>
          <w:sz w:val="20"/>
          <w:szCs w:val="20"/>
        </w:rPr>
      </w:pPr>
      <w:r>
        <w:rPr>
          <w:rFonts w:ascii="Arial" w:eastAsia="Arial" w:hAnsi="Arial" w:cs="Arial"/>
          <w:sz w:val="20"/>
          <w:szCs w:val="20"/>
        </w:rPr>
        <w:t>Adicionalmente, las especificaciones deberán cumplir con los requisitos técnicos mínimos establecidos en la ficha, asegurando el desempeño y la confiabilidad requeridos por la Entidad.</w:t>
      </w:r>
      <w:r w:rsidR="00000000">
        <w:pict w14:anchorId="4C6791EE">
          <v:rect id="_x0000_i1032" style="width:0;height:1.5pt" o:hralign="center" o:hrstd="t" o:hr="t" fillcolor="#a0a0a0" stroked="f"/>
        </w:pict>
      </w:r>
    </w:p>
    <w:p w14:paraId="7B092DA3"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8. Frecuencia de actualización del monitor</w:t>
      </w:r>
    </w:p>
    <w:p w14:paraId="2A28C78B"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Solicitamos ajustar la tasa mínima de refresco a </w:t>
      </w:r>
      <w:r>
        <w:rPr>
          <w:rFonts w:ascii="Arial" w:eastAsia="Arial" w:hAnsi="Arial" w:cs="Arial"/>
          <w:b/>
          <w:bCs/>
          <w:sz w:val="20"/>
          <w:szCs w:val="20"/>
        </w:rPr>
        <w:t>75 Hz</w:t>
      </w:r>
      <w:r>
        <w:rPr>
          <w:rFonts w:ascii="Arial" w:eastAsia="Arial" w:hAnsi="Arial" w:cs="Arial"/>
          <w:sz w:val="20"/>
          <w:szCs w:val="20"/>
        </w:rPr>
        <w:t>.</w:t>
      </w:r>
    </w:p>
    <w:p w14:paraId="797BE6C0" w14:textId="77777777" w:rsidR="00BE6367" w:rsidRDefault="00C90F6A">
      <w:pPr>
        <w:jc w:val="both"/>
        <w:rPr>
          <w:rFonts w:ascii="Arial" w:eastAsia="Arial" w:hAnsi="Arial" w:cs="Arial"/>
          <w:sz w:val="20"/>
          <w:szCs w:val="20"/>
        </w:rPr>
      </w:pPr>
      <w:r>
        <w:rPr>
          <w:rFonts w:ascii="Arial" w:eastAsia="Arial" w:hAnsi="Arial" w:cs="Arial"/>
          <w:sz w:val="20"/>
          <w:szCs w:val="20"/>
        </w:rPr>
        <w:t>Este valor corresponde al estándar del mercado para equipos corporativos All in One y garantiza una experiencia adecuada para los usuarios sin limitar la competencia.</w:t>
      </w:r>
    </w:p>
    <w:p w14:paraId="215049FD" w14:textId="77777777" w:rsidR="00BE6367" w:rsidRDefault="00C90F6A">
      <w:pPr>
        <w:jc w:val="both"/>
        <w:rPr>
          <w:rFonts w:ascii="Arial" w:eastAsia="Arial" w:hAnsi="Arial" w:cs="Arial"/>
          <w:sz w:val="20"/>
          <w:szCs w:val="20"/>
        </w:rPr>
      </w:pPr>
      <w:r>
        <w:rPr>
          <w:rFonts w:ascii="Arial" w:eastAsia="Arial" w:hAnsi="Arial" w:cs="Arial"/>
          <w:b/>
          <w:bCs/>
          <w:sz w:val="20"/>
          <w:szCs w:val="20"/>
        </w:rPr>
        <w:lastRenderedPageBreak/>
        <w:t>RESPUESTA A OBSERVACIÓN:</w:t>
      </w:r>
      <w:r>
        <w:rPr>
          <w:rFonts w:ascii="Arial" w:eastAsia="Arial" w:hAnsi="Arial" w:cs="Arial"/>
          <w:sz w:val="20"/>
          <w:szCs w:val="20"/>
        </w:rPr>
        <w:t xml:space="preserve"> </w:t>
      </w:r>
    </w:p>
    <w:p w14:paraId="20333AAA" w14:textId="77777777" w:rsidR="00BE6367" w:rsidRDefault="00C90F6A">
      <w:pPr>
        <w:jc w:val="both"/>
        <w:rPr>
          <w:rFonts w:ascii="Arial" w:eastAsia="Arial" w:hAnsi="Arial" w:cs="Arial"/>
          <w:sz w:val="20"/>
          <w:szCs w:val="20"/>
        </w:rPr>
      </w:pPr>
      <w:r>
        <w:rPr>
          <w:rFonts w:ascii="Arial" w:eastAsia="Arial" w:hAnsi="Arial" w:cs="Arial"/>
          <w:sz w:val="20"/>
          <w:szCs w:val="20"/>
        </w:rPr>
        <w:t>No se acoge la observación. Se precisa que la exigencia de contar con una pantalla de al menos 100 Hz corresponde a un requisito mínimo solicitado en la ficha técnica, orientado a garantizar una experiencia visual más fluida, cómoda y con menor fatiga durante la jornada laboral.</w:t>
      </w:r>
    </w:p>
    <w:p w14:paraId="685E57BC" w14:textId="77777777" w:rsidR="00BE6367" w:rsidRDefault="00C90F6A">
      <w:pPr>
        <w:jc w:val="both"/>
        <w:rPr>
          <w:rFonts w:ascii="Arial" w:eastAsia="Arial" w:hAnsi="Arial" w:cs="Arial"/>
          <w:sz w:val="20"/>
          <w:szCs w:val="20"/>
        </w:rPr>
      </w:pPr>
      <w:r>
        <w:rPr>
          <w:rFonts w:ascii="Arial" w:eastAsia="Arial" w:hAnsi="Arial" w:cs="Arial"/>
          <w:sz w:val="20"/>
          <w:szCs w:val="20"/>
        </w:rPr>
        <w:t>Adicionalmente, se aclara que en el mercado existe una amplia variedad de fabricantes y modelos que cumplen este requisito mínimo, lo que asegura la pluralidad de opciones, la libre concurrencia y la selección objetiva dentro del proceso.</w:t>
      </w:r>
    </w:p>
    <w:p w14:paraId="0658A82F" w14:textId="77777777" w:rsidR="00BE6367" w:rsidRDefault="00C90F6A">
      <w:pPr>
        <w:jc w:val="both"/>
        <w:rPr>
          <w:rFonts w:ascii="Arial" w:eastAsia="Arial" w:hAnsi="Arial" w:cs="Arial"/>
          <w:sz w:val="20"/>
          <w:szCs w:val="20"/>
        </w:rPr>
      </w:pPr>
      <w:r>
        <w:rPr>
          <w:rFonts w:ascii="Arial" w:eastAsia="Arial" w:hAnsi="Arial" w:cs="Arial"/>
          <w:sz w:val="20"/>
          <w:szCs w:val="20"/>
        </w:rPr>
        <w:t>De esta manera se mantiene la coherencia técnica del pliego y se garantiza que los equipos ofertados respondan plenamente a las necesidades de desempeño y confort visual requeridas por la Entidad.</w:t>
      </w:r>
    </w:p>
    <w:p w14:paraId="1238C13C" w14:textId="77777777" w:rsidR="00BE6367" w:rsidRDefault="00000000">
      <w:pPr>
        <w:jc w:val="both"/>
        <w:rPr>
          <w:rFonts w:ascii="Arial" w:eastAsia="Arial" w:hAnsi="Arial" w:cs="Arial"/>
          <w:sz w:val="20"/>
          <w:szCs w:val="20"/>
        </w:rPr>
      </w:pPr>
      <w:r>
        <w:pict w14:anchorId="3C56471B">
          <v:rect id="_x0000_i1033" style="width:0;height:1.5pt" o:hralign="center" o:hrstd="t" o:hr="t" fillcolor="#a0a0a0" stroked="f"/>
        </w:pict>
      </w:r>
    </w:p>
    <w:p w14:paraId="2659CA14"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9. Memoria RAM</w:t>
      </w:r>
    </w:p>
    <w:p w14:paraId="5DAA2C58"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Solicitamos permitir memorias </w:t>
      </w:r>
      <w:r>
        <w:rPr>
          <w:rFonts w:ascii="Arial" w:eastAsia="Arial" w:hAnsi="Arial" w:cs="Arial"/>
          <w:b/>
          <w:bCs/>
          <w:sz w:val="20"/>
          <w:szCs w:val="20"/>
        </w:rPr>
        <w:t>DDR5-5600</w:t>
      </w:r>
      <w:r>
        <w:rPr>
          <w:rFonts w:ascii="Arial" w:eastAsia="Arial" w:hAnsi="Arial" w:cs="Arial"/>
          <w:sz w:val="20"/>
          <w:szCs w:val="20"/>
        </w:rPr>
        <w:t xml:space="preserve"> como especificación mínima.</w:t>
      </w:r>
    </w:p>
    <w:p w14:paraId="647405F5" w14:textId="77777777" w:rsidR="00BE6367" w:rsidRDefault="00C90F6A">
      <w:pPr>
        <w:jc w:val="both"/>
        <w:rPr>
          <w:rFonts w:ascii="Arial" w:eastAsia="Arial" w:hAnsi="Arial" w:cs="Arial"/>
          <w:sz w:val="20"/>
          <w:szCs w:val="20"/>
        </w:rPr>
      </w:pPr>
      <w:r>
        <w:rPr>
          <w:rFonts w:ascii="Arial" w:eastAsia="Arial" w:hAnsi="Arial" w:cs="Arial"/>
          <w:sz w:val="20"/>
          <w:szCs w:val="20"/>
        </w:rPr>
        <w:t>La diferencia de desempeño frente a memorias DDR5-6400 resulta prácticamente imperceptible para aplicaciones de oficina y productividad, mientras que esta modificación amplía la participación de fabricantes sin afectar el desempeño requerido.</w:t>
      </w:r>
    </w:p>
    <w:p w14:paraId="5215679D"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1A34C32F" w14:textId="77777777" w:rsidR="00BE6367" w:rsidRDefault="00C90F6A">
      <w:pPr>
        <w:jc w:val="both"/>
        <w:rPr>
          <w:rFonts w:ascii="Arial" w:eastAsia="Arial" w:hAnsi="Arial" w:cs="Arial"/>
          <w:sz w:val="20"/>
          <w:szCs w:val="20"/>
        </w:rPr>
      </w:pPr>
      <w:r>
        <w:rPr>
          <w:rFonts w:ascii="Arial" w:eastAsia="Arial" w:hAnsi="Arial" w:cs="Arial"/>
          <w:sz w:val="20"/>
          <w:szCs w:val="20"/>
        </w:rPr>
        <w:t>No se acoge la observación. La elección de memoria DDR5-6400 MT/s en los equipos All-in-One responde a un objetivo de largo plazo que garantiza un mayor ancho de banda frente a configuraciones de DDR5-5600 MT/s. En términos técnicos, la velocidad de 6400 MT/s representa aproximadamente un 15% más de tasa de transferencia, lo que favorece el movimiento de datos entre CPU y memoria en cargas sensibles al subsistema de memoria.</w:t>
      </w:r>
    </w:p>
    <w:p w14:paraId="7530B10C" w14:textId="77777777" w:rsidR="00BE6367" w:rsidRDefault="00C90F6A">
      <w:pPr>
        <w:jc w:val="both"/>
        <w:rPr>
          <w:rFonts w:ascii="Arial" w:eastAsia="Arial" w:hAnsi="Arial" w:cs="Arial"/>
          <w:sz w:val="20"/>
          <w:szCs w:val="20"/>
        </w:rPr>
      </w:pPr>
      <w:r>
        <w:rPr>
          <w:rFonts w:ascii="Arial" w:eastAsia="Arial" w:hAnsi="Arial" w:cs="Arial"/>
          <w:sz w:val="20"/>
          <w:szCs w:val="20"/>
        </w:rPr>
        <w:t>En la práctica, este beneficio se refleja en escenarios de multitarea intensiva, colaboración con múltiples aplicaciones abiertas, videoconferencias, navegación exigente, analítica ligera y creación de contenido de oficina, donde una memoria más rápida contribuye a una mejor capacidad de respuesta del sistema.</w:t>
      </w:r>
    </w:p>
    <w:p w14:paraId="6805046E" w14:textId="77777777" w:rsidR="00BE6367" w:rsidRDefault="00C90F6A">
      <w:pPr>
        <w:jc w:val="both"/>
        <w:rPr>
          <w:rFonts w:ascii="Arial" w:eastAsia="Arial" w:hAnsi="Arial" w:cs="Arial"/>
          <w:sz w:val="20"/>
          <w:szCs w:val="20"/>
        </w:rPr>
      </w:pPr>
      <w:r>
        <w:rPr>
          <w:rFonts w:ascii="Arial" w:eastAsia="Arial" w:hAnsi="Arial" w:cs="Arial"/>
          <w:sz w:val="20"/>
          <w:szCs w:val="20"/>
        </w:rPr>
        <w:t>La velocidad de operación solicitada garantiza a la Entidad contar con la versión más actualizada disponible en el mercado, lo que brinda seguridad sobre la vigencia tecnológica y confiabilidad de la inversión en el tiempo.</w:t>
      </w:r>
    </w:p>
    <w:p w14:paraId="2387DF88" w14:textId="77777777" w:rsidR="00BE6367" w:rsidRDefault="00C90F6A">
      <w:pPr>
        <w:jc w:val="both"/>
        <w:rPr>
          <w:rFonts w:ascii="Arial" w:eastAsia="Arial" w:hAnsi="Arial" w:cs="Arial"/>
          <w:sz w:val="20"/>
          <w:szCs w:val="20"/>
        </w:rPr>
      </w:pPr>
      <w:r>
        <w:rPr>
          <w:rFonts w:ascii="Arial" w:eastAsia="Arial" w:hAnsi="Arial" w:cs="Arial"/>
          <w:sz w:val="20"/>
          <w:szCs w:val="20"/>
        </w:rPr>
        <w:t>En consecuencia, se mantiene el requisito de memoria RAM DDR5 de mínimo 6400 MT/s con capacidad de expansión a 64 GB, considerando que esta especificación corresponde al nivel de desempeño esperado para el perfil de equipo requerido y resulta acorde con las plataformas tecnológicas de última generación disponibles en este segmento.</w:t>
      </w:r>
      <w:r w:rsidR="00000000">
        <w:pict w14:anchorId="54F2A302">
          <v:rect id="_x0000_i1034" style="width:0;height:1.5pt" o:hralign="center" o:hrstd="t" o:hr="t" fillcolor="#a0a0a0" stroked="f"/>
        </w:pict>
      </w:r>
    </w:p>
    <w:p w14:paraId="2E9729A4" w14:textId="77777777" w:rsidR="00BE6367" w:rsidRDefault="00BE6367">
      <w:pPr>
        <w:jc w:val="both"/>
        <w:rPr>
          <w:rFonts w:ascii="Arial" w:eastAsia="Arial" w:hAnsi="Arial" w:cs="Arial"/>
          <w:b/>
          <w:bCs/>
          <w:sz w:val="20"/>
          <w:szCs w:val="20"/>
        </w:rPr>
      </w:pPr>
    </w:p>
    <w:p w14:paraId="78254C1F"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10. Cámara</w:t>
      </w:r>
    </w:p>
    <w:p w14:paraId="49E62F68"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Solicitamos permitir cámaras que incorporen funciones de </w:t>
      </w:r>
      <w:r>
        <w:rPr>
          <w:rFonts w:ascii="Arial" w:eastAsia="Arial" w:hAnsi="Arial" w:cs="Arial"/>
          <w:b/>
          <w:bCs/>
          <w:sz w:val="20"/>
          <w:szCs w:val="20"/>
        </w:rPr>
        <w:t>Inteligencia Artificial</w:t>
      </w:r>
      <w:r>
        <w:rPr>
          <w:rFonts w:ascii="Arial" w:eastAsia="Arial" w:hAnsi="Arial" w:cs="Arial"/>
          <w:sz w:val="20"/>
          <w:szCs w:val="20"/>
        </w:rPr>
        <w:t xml:space="preserve"> para:</w:t>
      </w:r>
    </w:p>
    <w:p w14:paraId="1EB58339" w14:textId="77777777" w:rsidR="00BE6367" w:rsidRDefault="00C90F6A">
      <w:pPr>
        <w:numPr>
          <w:ilvl w:val="0"/>
          <w:numId w:val="56"/>
        </w:numPr>
        <w:jc w:val="both"/>
        <w:rPr>
          <w:rFonts w:ascii="Arial" w:eastAsia="Arial" w:hAnsi="Arial" w:cs="Arial"/>
        </w:rPr>
      </w:pPr>
      <w:r>
        <w:rPr>
          <w:rFonts w:ascii="Arial" w:eastAsia="Arial" w:hAnsi="Arial" w:cs="Arial"/>
          <w:sz w:val="20"/>
          <w:szCs w:val="20"/>
        </w:rPr>
        <w:t xml:space="preserve">Encuadre automático. </w:t>
      </w:r>
    </w:p>
    <w:p w14:paraId="3477DE66" w14:textId="77777777" w:rsidR="00BE6367" w:rsidRDefault="00C90F6A">
      <w:pPr>
        <w:numPr>
          <w:ilvl w:val="0"/>
          <w:numId w:val="56"/>
        </w:numPr>
        <w:jc w:val="both"/>
        <w:rPr>
          <w:rFonts w:ascii="Arial" w:eastAsia="Arial" w:hAnsi="Arial" w:cs="Arial"/>
        </w:rPr>
      </w:pPr>
      <w:r>
        <w:rPr>
          <w:rFonts w:ascii="Arial" w:eastAsia="Arial" w:hAnsi="Arial" w:cs="Arial"/>
          <w:sz w:val="20"/>
          <w:szCs w:val="20"/>
        </w:rPr>
        <w:t xml:space="preserve">Seguimiento del usuario. </w:t>
      </w:r>
    </w:p>
    <w:p w14:paraId="759BCDD6" w14:textId="77777777" w:rsidR="00BE6367" w:rsidRDefault="00C90F6A">
      <w:pPr>
        <w:numPr>
          <w:ilvl w:val="0"/>
          <w:numId w:val="56"/>
        </w:numPr>
        <w:jc w:val="both"/>
        <w:rPr>
          <w:rFonts w:ascii="Arial" w:eastAsia="Arial" w:hAnsi="Arial" w:cs="Arial"/>
        </w:rPr>
      </w:pPr>
      <w:r>
        <w:rPr>
          <w:rFonts w:ascii="Arial" w:eastAsia="Arial" w:hAnsi="Arial" w:cs="Arial"/>
          <w:sz w:val="20"/>
          <w:szCs w:val="20"/>
        </w:rPr>
        <w:lastRenderedPageBreak/>
        <w:t xml:space="preserve">Reducción de ruido. </w:t>
      </w:r>
    </w:p>
    <w:p w14:paraId="75348253" w14:textId="77777777" w:rsidR="00BE6367" w:rsidRDefault="00C90F6A">
      <w:pPr>
        <w:numPr>
          <w:ilvl w:val="0"/>
          <w:numId w:val="56"/>
        </w:numPr>
        <w:jc w:val="both"/>
        <w:rPr>
          <w:rFonts w:ascii="Arial" w:eastAsia="Arial" w:hAnsi="Arial" w:cs="Arial"/>
        </w:rPr>
      </w:pPr>
      <w:r>
        <w:rPr>
          <w:rFonts w:ascii="Arial" w:eastAsia="Arial" w:hAnsi="Arial" w:cs="Arial"/>
          <w:sz w:val="20"/>
          <w:szCs w:val="20"/>
        </w:rPr>
        <w:t xml:space="preserve">Corrección automática de iluminación. </w:t>
      </w:r>
    </w:p>
    <w:p w14:paraId="7A78A675" w14:textId="77777777" w:rsidR="00BE6367" w:rsidRDefault="00C90F6A">
      <w:pPr>
        <w:numPr>
          <w:ilvl w:val="0"/>
          <w:numId w:val="56"/>
        </w:numPr>
        <w:jc w:val="both"/>
        <w:rPr>
          <w:rFonts w:ascii="Arial" w:eastAsia="Arial" w:hAnsi="Arial" w:cs="Arial"/>
        </w:rPr>
      </w:pPr>
      <w:r>
        <w:rPr>
          <w:rFonts w:ascii="Arial" w:eastAsia="Arial" w:hAnsi="Arial" w:cs="Arial"/>
          <w:sz w:val="20"/>
          <w:szCs w:val="20"/>
        </w:rPr>
        <w:t xml:space="preserve">Desenfoque inteligente de fondo. </w:t>
      </w:r>
    </w:p>
    <w:p w14:paraId="0196BD89" w14:textId="77777777" w:rsidR="00BE6367" w:rsidRDefault="00C90F6A">
      <w:pPr>
        <w:jc w:val="both"/>
        <w:rPr>
          <w:rFonts w:ascii="Arial" w:eastAsia="Arial" w:hAnsi="Arial" w:cs="Arial"/>
          <w:sz w:val="20"/>
          <w:szCs w:val="20"/>
        </w:rPr>
      </w:pPr>
      <w:r>
        <w:rPr>
          <w:rFonts w:ascii="Arial" w:eastAsia="Arial" w:hAnsi="Arial" w:cs="Arial"/>
          <w:sz w:val="20"/>
          <w:szCs w:val="20"/>
        </w:rPr>
        <w:t>Estas funcionalidades ofrecen mayor valor para los usuarios frente a la exigencia exclusiva de HDR.</w:t>
      </w:r>
    </w:p>
    <w:p w14:paraId="0EF1DAF5"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6F69A698" w14:textId="77777777" w:rsidR="00BE6367" w:rsidRDefault="00C90F6A">
      <w:pPr>
        <w:jc w:val="both"/>
        <w:rPr>
          <w:rFonts w:ascii="Arial" w:eastAsia="Arial" w:hAnsi="Arial" w:cs="Arial"/>
          <w:sz w:val="20"/>
          <w:szCs w:val="20"/>
        </w:rPr>
      </w:pPr>
      <w:r>
        <w:rPr>
          <w:rFonts w:ascii="Arial" w:eastAsia="Arial" w:hAnsi="Arial" w:cs="Arial"/>
          <w:sz w:val="20"/>
          <w:szCs w:val="20"/>
        </w:rPr>
        <w:t>No se acoge la observación. El requisito definido corresponde a los mínimos solicitados en la ficha técnica de producto, establecidas como condiciones necesarias para garantizar la calidad de imagen y el desempeño requerido por los usuarios.</w:t>
      </w:r>
    </w:p>
    <w:p w14:paraId="43290666" w14:textId="77777777" w:rsidR="00BE6367" w:rsidRDefault="00C90F6A">
      <w:pPr>
        <w:jc w:val="both"/>
        <w:rPr>
          <w:rFonts w:ascii="Arial" w:eastAsia="Arial" w:hAnsi="Arial" w:cs="Arial"/>
          <w:sz w:val="20"/>
          <w:szCs w:val="20"/>
        </w:rPr>
      </w:pPr>
      <w:r>
        <w:rPr>
          <w:rFonts w:ascii="Arial" w:eastAsia="Arial" w:hAnsi="Arial" w:cs="Arial"/>
          <w:sz w:val="20"/>
          <w:szCs w:val="20"/>
        </w:rPr>
        <w:t>Se precisa que, si bien pueden existir equipos con funcionalidades adicionales como inteligencia artificial para encuadre, seguimiento o corrección automática, estas características se consideran superiores a lo mínimo exigido y podrán ser ofertadas siempre que cumplan con los parámetros básicos establecidos.</w:t>
      </w:r>
    </w:p>
    <w:p w14:paraId="17E74BF4" w14:textId="77777777" w:rsidR="00BE6367" w:rsidRDefault="00C90F6A">
      <w:pPr>
        <w:jc w:val="both"/>
        <w:rPr>
          <w:rFonts w:ascii="Arial" w:eastAsia="Arial" w:hAnsi="Arial" w:cs="Arial"/>
          <w:sz w:val="20"/>
          <w:szCs w:val="20"/>
        </w:rPr>
      </w:pPr>
      <w:r>
        <w:rPr>
          <w:rFonts w:ascii="Arial" w:eastAsia="Arial" w:hAnsi="Arial" w:cs="Arial"/>
          <w:sz w:val="20"/>
          <w:szCs w:val="20"/>
        </w:rPr>
        <w:t>De esta manera se asegura que todos los oferentes partan de un estándar mínimo común, sin restringir la posibilidad de presentar soluciones con especificaciones más avanzadas.</w:t>
      </w:r>
    </w:p>
    <w:p w14:paraId="1F597B67" w14:textId="77777777" w:rsidR="00BE6367" w:rsidRDefault="00000000">
      <w:pPr>
        <w:jc w:val="both"/>
        <w:rPr>
          <w:rFonts w:ascii="Arial" w:eastAsia="Arial" w:hAnsi="Arial" w:cs="Arial"/>
          <w:sz w:val="20"/>
          <w:szCs w:val="20"/>
        </w:rPr>
      </w:pPr>
      <w:r>
        <w:pict w14:anchorId="7B647983">
          <v:rect id="_x0000_i1035" style="width:0;height:1.5pt" o:hralign="center" o:hrstd="t" o:hr="t" fillcolor="#a0a0a0" stroked="f"/>
        </w:pict>
      </w:r>
    </w:p>
    <w:p w14:paraId="46DFD4E4"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OBSERVACIONES WORKSTATION</w:t>
      </w:r>
    </w:p>
    <w:p w14:paraId="13F70AB1"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11. Fuente de alimentación</w:t>
      </w:r>
    </w:p>
    <w:p w14:paraId="0761F64E"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Solicitamos aceptar fuentes de alimentación con capacidad mínima de </w:t>
      </w:r>
      <w:r>
        <w:rPr>
          <w:rFonts w:ascii="Arial" w:eastAsia="Arial" w:hAnsi="Arial" w:cs="Arial"/>
          <w:b/>
          <w:bCs/>
          <w:sz w:val="20"/>
          <w:szCs w:val="20"/>
        </w:rPr>
        <w:t>1200 W</w:t>
      </w:r>
      <w:r>
        <w:rPr>
          <w:rFonts w:ascii="Arial" w:eastAsia="Arial" w:hAnsi="Arial" w:cs="Arial"/>
          <w:sz w:val="20"/>
          <w:szCs w:val="20"/>
        </w:rPr>
        <w:t>.</w:t>
      </w:r>
    </w:p>
    <w:p w14:paraId="5432C52F" w14:textId="77777777" w:rsidR="00BE6367" w:rsidRDefault="00C90F6A">
      <w:pPr>
        <w:jc w:val="both"/>
        <w:rPr>
          <w:rFonts w:ascii="Arial" w:eastAsia="Arial" w:hAnsi="Arial" w:cs="Arial"/>
          <w:sz w:val="20"/>
          <w:szCs w:val="20"/>
        </w:rPr>
      </w:pPr>
      <w:r>
        <w:rPr>
          <w:rFonts w:ascii="Arial" w:eastAsia="Arial" w:hAnsi="Arial" w:cs="Arial"/>
          <w:sz w:val="20"/>
          <w:szCs w:val="20"/>
        </w:rPr>
        <w:t>Esta potencia resulta suficiente para estaciones de trabajo de alto desempeño y evita restringir la participación de fabricantes que ofrecen plataformas plenamente funcionales.</w:t>
      </w:r>
    </w:p>
    <w:p w14:paraId="3AC3746A"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7755E643"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No se acoge la observación. La exigencia de una fuente de poder de </w:t>
      </w:r>
      <w:r>
        <w:rPr>
          <w:rFonts w:ascii="Arial" w:eastAsia="Arial" w:hAnsi="Arial" w:cs="Arial"/>
          <w:b/>
          <w:bCs/>
          <w:sz w:val="20"/>
          <w:szCs w:val="20"/>
        </w:rPr>
        <w:t>1450W</w:t>
      </w:r>
      <w:r>
        <w:rPr>
          <w:rFonts w:ascii="Arial" w:eastAsia="Arial" w:hAnsi="Arial" w:cs="Arial"/>
          <w:sz w:val="20"/>
          <w:szCs w:val="20"/>
        </w:rPr>
        <w:t xml:space="preserve"> en la workstation se sustenta en la necesidad de garantizar capacidad real de vatiaje, escalabilidad futura y estabilidad de la configuración actual. Una workstation orientada a cargas profesionales integra procesadores de alto desempeño, memoria ECC, múltiples unidades de almacenamiento y tarjetas gráficas profesionales que elevan significativamente el consumo energético y generan picos de demanda. En escenarios de uso intensivo, no basta con cubrir el consumo promedio; la fuente debe soportar con holgura los picos transitorios para evitar inestabilidad, reinicios o limitaciones de desempeño.</w:t>
      </w:r>
    </w:p>
    <w:p w14:paraId="356F9DCA" w14:textId="77777777" w:rsidR="00BE6367" w:rsidRDefault="00C90F6A">
      <w:pPr>
        <w:jc w:val="both"/>
        <w:rPr>
          <w:rFonts w:ascii="Arial" w:eastAsia="Arial" w:hAnsi="Arial" w:cs="Arial"/>
          <w:sz w:val="20"/>
          <w:szCs w:val="20"/>
        </w:rPr>
      </w:pPr>
      <w:r>
        <w:rPr>
          <w:rFonts w:ascii="Arial" w:eastAsia="Arial" w:hAnsi="Arial" w:cs="Arial"/>
          <w:sz w:val="20"/>
          <w:szCs w:val="20"/>
        </w:rPr>
        <w:t>Asimismo, contar con una fuente de mayor capacidad asegura vigencia tecnológica y escalabilidad, permitiendo ampliaciones de memoria, incorporación de más discos, tarjetas PCIe adicionales o una GPU de mayor consumo sin necesidad de reemplazar el equipo completo, lo que protege la inversión institucional y garantiza continuidad operativa. Una fuente sobredimensionada también trabaja en una zona más cómoda de operación, con menor estrés eléctrico y térmico, favoreciendo la operación continua, la confiabilidad general del sistema y la seguridad, al incluir protecciones contra sobrevoltaje, sobrecorriente, sobretemperatura y cortocircuito.</w:t>
      </w:r>
    </w:p>
    <w:p w14:paraId="16051531"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 xml:space="preserve">En consecuencia, se mantiene el requisito de fuente de poder de </w:t>
      </w:r>
      <w:r>
        <w:rPr>
          <w:rFonts w:ascii="Arial" w:eastAsia="Arial" w:hAnsi="Arial" w:cs="Arial"/>
          <w:b/>
          <w:bCs/>
          <w:sz w:val="20"/>
          <w:szCs w:val="20"/>
        </w:rPr>
        <w:t>1450W</w:t>
      </w:r>
      <w:r>
        <w:rPr>
          <w:rFonts w:ascii="Arial" w:eastAsia="Arial" w:hAnsi="Arial" w:cs="Arial"/>
          <w:sz w:val="20"/>
          <w:szCs w:val="20"/>
        </w:rPr>
        <w:t>, dado que constituye un parámetro mínimo indispensable para asegurar el rendimiento, la escalabilidad y la confiabilidad de las workstations en los escenarios de uso previstos por la Entidad.</w:t>
      </w:r>
    </w:p>
    <w:p w14:paraId="5C0AC53A" w14:textId="77777777" w:rsidR="00BE6367" w:rsidRDefault="00000000">
      <w:pPr>
        <w:jc w:val="both"/>
        <w:rPr>
          <w:rFonts w:ascii="Arial" w:eastAsia="Arial" w:hAnsi="Arial" w:cs="Arial"/>
          <w:sz w:val="20"/>
          <w:szCs w:val="20"/>
        </w:rPr>
      </w:pPr>
      <w:r>
        <w:pict w14:anchorId="5896851C">
          <v:rect id="_x0000_i1036" style="width:0;height:1.5pt" o:hralign="center" o:hrstd="t" o:hr="t" fillcolor="#a0a0a0" stroked="f"/>
        </w:pict>
      </w:r>
    </w:p>
    <w:p w14:paraId="243D2667"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12. Teclado</w:t>
      </w:r>
    </w:p>
    <w:p w14:paraId="58F6F936" w14:textId="77777777" w:rsidR="00BE6367" w:rsidRDefault="00C90F6A">
      <w:pPr>
        <w:jc w:val="both"/>
        <w:rPr>
          <w:rFonts w:ascii="Arial" w:eastAsia="Arial" w:hAnsi="Arial" w:cs="Arial"/>
          <w:sz w:val="20"/>
          <w:szCs w:val="20"/>
        </w:rPr>
      </w:pPr>
      <w:r>
        <w:rPr>
          <w:rFonts w:ascii="Arial" w:eastAsia="Arial" w:hAnsi="Arial" w:cs="Arial"/>
          <w:sz w:val="20"/>
          <w:szCs w:val="20"/>
        </w:rPr>
        <w:t>Solicitamos que el requisito se limite a exigir un teclado de la misma marca del fabricante del equipo.</w:t>
      </w:r>
    </w:p>
    <w:p w14:paraId="15C36483" w14:textId="77777777" w:rsidR="00BE6367" w:rsidRDefault="00C90F6A">
      <w:pPr>
        <w:jc w:val="both"/>
        <w:rPr>
          <w:rFonts w:ascii="Arial" w:eastAsia="Arial" w:hAnsi="Arial" w:cs="Arial"/>
          <w:sz w:val="20"/>
          <w:szCs w:val="20"/>
        </w:rPr>
      </w:pPr>
      <w:r>
        <w:rPr>
          <w:rFonts w:ascii="Arial" w:eastAsia="Arial" w:hAnsi="Arial" w:cs="Arial"/>
          <w:sz w:val="20"/>
          <w:szCs w:val="20"/>
        </w:rPr>
        <w:t>Las especificaciones actualmente solicitadas corresponden a periféricos especializados que no hacen parte de las configuraciones estándar de estaciones de trabajo corporativas.</w:t>
      </w:r>
    </w:p>
    <w:p w14:paraId="03F3AB8B"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36089E95" w14:textId="77777777" w:rsidR="00BE6367" w:rsidRDefault="00C90F6A">
      <w:pPr>
        <w:jc w:val="both"/>
        <w:rPr>
          <w:rFonts w:ascii="Arial" w:eastAsia="Arial" w:hAnsi="Arial" w:cs="Arial"/>
          <w:sz w:val="20"/>
          <w:szCs w:val="20"/>
        </w:rPr>
      </w:pPr>
      <w:r>
        <w:rPr>
          <w:rFonts w:ascii="Arial" w:eastAsia="Arial" w:hAnsi="Arial" w:cs="Arial"/>
          <w:sz w:val="20"/>
          <w:szCs w:val="20"/>
        </w:rPr>
        <w:t>No se acepta la observación, en virtud de que la exigencia de que los componentes provengan exclusivamente del mismo fabricante podría restringir la participación de oferentes, limitando la pluralidad y competitividad del proceso. En el mercado existen diversas marcas y soluciones que cumplen con los requisitos técnicos establecidos, por lo cual mantener la apertura a múltiples fabricantes garantiza igualdad de condiciones y mayor disponibilidad de alternativas para la entidad.</w:t>
      </w:r>
    </w:p>
    <w:p w14:paraId="03B87E9E" w14:textId="77777777" w:rsidR="00BE6367" w:rsidRDefault="00000000">
      <w:pPr>
        <w:jc w:val="both"/>
        <w:rPr>
          <w:rFonts w:ascii="Arial" w:eastAsia="Arial" w:hAnsi="Arial" w:cs="Arial"/>
          <w:sz w:val="20"/>
          <w:szCs w:val="20"/>
        </w:rPr>
      </w:pPr>
      <w:r>
        <w:pict w14:anchorId="217D5A04">
          <v:rect id="_x0000_i1037" style="width:0;height:1.5pt" o:hralign="center" o:hrstd="t" o:hr="t" fillcolor="#a0a0a0" stroked="f"/>
        </w:pict>
      </w:r>
    </w:p>
    <w:p w14:paraId="57DE279F"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13. Mouse</w:t>
      </w:r>
    </w:p>
    <w:p w14:paraId="00A2EFC2" w14:textId="77777777" w:rsidR="00BE6367" w:rsidRDefault="00C90F6A">
      <w:pPr>
        <w:jc w:val="both"/>
        <w:rPr>
          <w:rFonts w:ascii="Arial" w:eastAsia="Arial" w:hAnsi="Arial" w:cs="Arial"/>
          <w:sz w:val="20"/>
          <w:szCs w:val="20"/>
        </w:rPr>
      </w:pPr>
      <w:r>
        <w:rPr>
          <w:rFonts w:ascii="Arial" w:eastAsia="Arial" w:hAnsi="Arial" w:cs="Arial"/>
          <w:sz w:val="20"/>
          <w:szCs w:val="20"/>
        </w:rPr>
        <w:t>Solicitamos igualmente permitir mouse corporativo de la misma marca del fabricante del equipo.</w:t>
      </w:r>
    </w:p>
    <w:p w14:paraId="05D495A9" w14:textId="77777777" w:rsidR="00BE6367" w:rsidRDefault="00C90F6A">
      <w:pPr>
        <w:jc w:val="both"/>
        <w:rPr>
          <w:rFonts w:ascii="Arial" w:eastAsia="Arial" w:hAnsi="Arial" w:cs="Arial"/>
          <w:sz w:val="20"/>
          <w:szCs w:val="20"/>
        </w:rPr>
      </w:pPr>
      <w:r>
        <w:rPr>
          <w:rFonts w:ascii="Arial" w:eastAsia="Arial" w:hAnsi="Arial" w:cs="Arial"/>
          <w:sz w:val="20"/>
          <w:szCs w:val="20"/>
        </w:rPr>
        <w:t>Las características actualmente requeridas corresponden a dispositivos especializados que restringen innecesariamente la participación de fabricantes.</w:t>
      </w:r>
    </w:p>
    <w:p w14:paraId="477E2001"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4C9EA0C2" w14:textId="77777777" w:rsidR="00BE6367" w:rsidRDefault="00C90F6A">
      <w:pPr>
        <w:jc w:val="both"/>
        <w:rPr>
          <w:rFonts w:ascii="Arial" w:eastAsia="Arial" w:hAnsi="Arial" w:cs="Arial"/>
          <w:sz w:val="20"/>
          <w:szCs w:val="20"/>
        </w:rPr>
      </w:pPr>
      <w:r>
        <w:rPr>
          <w:rFonts w:ascii="Arial" w:eastAsia="Arial" w:hAnsi="Arial" w:cs="Arial"/>
          <w:sz w:val="20"/>
          <w:szCs w:val="20"/>
        </w:rPr>
        <w:t>No se acepta la observación, en virtud de que la exigencia de que los componentes provengan exclusivamente del mismo fabricante podría restringir la participación de oferentes, limitando la pluralidad y competitividad del proceso. En el mercado existen diversas marcas y soluciones que cumplen con los requisitos técnicos establecidos, por lo cual mantener la apertura a múltiples fabricantes garantiza igualdad de condiciones y mayor disponibilidad de alternativas para la entidad.</w:t>
      </w:r>
    </w:p>
    <w:p w14:paraId="7C8A1D9F" w14:textId="77777777" w:rsidR="00BE6367" w:rsidRDefault="00C90F6A">
      <w:pPr>
        <w:jc w:val="both"/>
        <w:rPr>
          <w:rFonts w:ascii="Arial" w:eastAsia="Arial" w:hAnsi="Arial" w:cs="Arial"/>
          <w:sz w:val="20"/>
          <w:szCs w:val="20"/>
        </w:rPr>
      </w:pPr>
      <w:r>
        <w:rPr>
          <w:rFonts w:ascii="Arial" w:eastAsia="Arial" w:hAnsi="Arial" w:cs="Arial"/>
          <w:sz w:val="20"/>
          <w:szCs w:val="20"/>
        </w:rPr>
        <w:t>Adicionalmente, se precisa que las especificaciones técnicas del accesorio actual corresponden a parámetros mínimos diseñados para cubrir de manera adecuada las necesidades presentes de los usuarios. Dichos accesorios están especializados para los perfiles requeridos, asegurando que las configuraciones propuestas respondan a las demandas operativas.</w:t>
      </w:r>
    </w:p>
    <w:p w14:paraId="599F5339" w14:textId="77777777" w:rsidR="00BE6367" w:rsidRDefault="00000000">
      <w:pPr>
        <w:jc w:val="both"/>
        <w:rPr>
          <w:rFonts w:ascii="Arial" w:eastAsia="Arial" w:hAnsi="Arial" w:cs="Arial"/>
          <w:sz w:val="20"/>
          <w:szCs w:val="20"/>
        </w:rPr>
      </w:pPr>
      <w:r>
        <w:pict w14:anchorId="60F312EF">
          <v:rect id="_x0000_i1038" style="width:0;height:1.5pt" o:hralign="center" o:hrstd="t" o:hr="t" fillcolor="#a0a0a0" stroked="f"/>
        </w:pict>
      </w:r>
    </w:p>
    <w:p w14:paraId="5048924A"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14. Puertos USB</w:t>
      </w:r>
    </w:p>
    <w:p w14:paraId="0B20FFE5" w14:textId="77777777" w:rsidR="00BE6367" w:rsidRDefault="00C90F6A">
      <w:pPr>
        <w:jc w:val="both"/>
        <w:rPr>
          <w:rFonts w:ascii="Arial" w:eastAsia="Arial" w:hAnsi="Arial" w:cs="Arial"/>
          <w:sz w:val="20"/>
          <w:szCs w:val="20"/>
        </w:rPr>
      </w:pPr>
      <w:r>
        <w:rPr>
          <w:rFonts w:ascii="Arial" w:eastAsia="Arial" w:hAnsi="Arial" w:cs="Arial"/>
          <w:sz w:val="20"/>
          <w:szCs w:val="20"/>
        </w:rPr>
        <w:t>Solicitamos modificar el requisito por una configuración mínima equivalente a:</w:t>
      </w:r>
    </w:p>
    <w:p w14:paraId="0C05B3F5" w14:textId="77777777" w:rsidR="00BE6367" w:rsidRDefault="00C90F6A">
      <w:pPr>
        <w:numPr>
          <w:ilvl w:val="0"/>
          <w:numId w:val="67"/>
        </w:numPr>
        <w:jc w:val="both"/>
        <w:rPr>
          <w:rFonts w:ascii="Arial" w:eastAsia="Arial" w:hAnsi="Arial" w:cs="Arial"/>
        </w:rPr>
      </w:pPr>
      <w:r>
        <w:rPr>
          <w:rFonts w:ascii="Arial" w:eastAsia="Arial" w:hAnsi="Arial" w:cs="Arial"/>
          <w:sz w:val="20"/>
          <w:szCs w:val="20"/>
        </w:rPr>
        <w:t xml:space="preserve">10 puertos USB. </w:t>
      </w:r>
    </w:p>
    <w:p w14:paraId="51D58795" w14:textId="77777777" w:rsidR="00BE6367" w:rsidRDefault="00C90F6A">
      <w:pPr>
        <w:numPr>
          <w:ilvl w:val="0"/>
          <w:numId w:val="67"/>
        </w:numPr>
        <w:jc w:val="both"/>
        <w:rPr>
          <w:rFonts w:ascii="Arial" w:eastAsia="Arial" w:hAnsi="Arial" w:cs="Arial"/>
        </w:rPr>
      </w:pPr>
      <w:r>
        <w:rPr>
          <w:rFonts w:ascii="Arial" w:eastAsia="Arial" w:hAnsi="Arial" w:cs="Arial"/>
          <w:sz w:val="20"/>
          <w:szCs w:val="20"/>
        </w:rPr>
        <w:t xml:space="preserve">Al menos 2 USB-C 3.2 Gen2 2x2. </w:t>
      </w:r>
    </w:p>
    <w:p w14:paraId="07BF4735" w14:textId="77777777" w:rsidR="00BE6367" w:rsidRDefault="00C90F6A">
      <w:pPr>
        <w:numPr>
          <w:ilvl w:val="0"/>
          <w:numId w:val="67"/>
        </w:numPr>
        <w:jc w:val="both"/>
        <w:rPr>
          <w:rFonts w:ascii="Arial" w:eastAsia="Arial" w:hAnsi="Arial" w:cs="Arial"/>
        </w:rPr>
      </w:pPr>
      <w:r>
        <w:rPr>
          <w:rFonts w:ascii="Arial" w:eastAsia="Arial" w:hAnsi="Arial" w:cs="Arial"/>
          <w:sz w:val="20"/>
          <w:szCs w:val="20"/>
        </w:rPr>
        <w:lastRenderedPageBreak/>
        <w:t xml:space="preserve">6 USB-A de 10 Gbps. </w:t>
      </w:r>
    </w:p>
    <w:p w14:paraId="501B7B31" w14:textId="77777777" w:rsidR="00BE6367" w:rsidRDefault="00C90F6A">
      <w:pPr>
        <w:numPr>
          <w:ilvl w:val="0"/>
          <w:numId w:val="67"/>
        </w:numPr>
        <w:jc w:val="both"/>
        <w:rPr>
          <w:rFonts w:ascii="Arial" w:eastAsia="Arial" w:hAnsi="Arial" w:cs="Arial"/>
        </w:rPr>
      </w:pPr>
      <w:r>
        <w:rPr>
          <w:rFonts w:ascii="Arial" w:eastAsia="Arial" w:hAnsi="Arial" w:cs="Arial"/>
          <w:sz w:val="20"/>
          <w:szCs w:val="20"/>
        </w:rPr>
        <w:t xml:space="preserve">2 USB-A 2.0. </w:t>
      </w:r>
    </w:p>
    <w:p w14:paraId="4951F6D1" w14:textId="77777777" w:rsidR="00BE6367" w:rsidRDefault="00C90F6A">
      <w:pPr>
        <w:jc w:val="both"/>
        <w:rPr>
          <w:rFonts w:ascii="Arial" w:eastAsia="Arial" w:hAnsi="Arial" w:cs="Arial"/>
          <w:sz w:val="20"/>
          <w:szCs w:val="20"/>
        </w:rPr>
      </w:pPr>
      <w:r>
        <w:rPr>
          <w:rFonts w:ascii="Arial" w:eastAsia="Arial" w:hAnsi="Arial" w:cs="Arial"/>
          <w:sz w:val="20"/>
          <w:szCs w:val="20"/>
        </w:rPr>
        <w:t>Esta configuración responde a los estándares actuales del mercado y favorece la pluralidad de oferentes.</w:t>
      </w:r>
    </w:p>
    <w:p w14:paraId="68769EF8"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29BD7147" w14:textId="77777777" w:rsidR="00BE6367" w:rsidRDefault="00C90F6A">
      <w:pPr>
        <w:jc w:val="both"/>
        <w:rPr>
          <w:rFonts w:ascii="Arial" w:eastAsia="Arial" w:hAnsi="Arial" w:cs="Arial"/>
          <w:sz w:val="20"/>
          <w:szCs w:val="20"/>
        </w:rPr>
      </w:pPr>
      <w:r>
        <w:rPr>
          <w:rFonts w:ascii="Arial" w:eastAsia="Arial" w:hAnsi="Arial" w:cs="Arial"/>
          <w:sz w:val="20"/>
          <w:szCs w:val="20"/>
        </w:rPr>
        <w:t>No se acoge la observación, toda vez que los puertos solicitados corresponden a los mínimos requeridos para el adecuado desarrollo de las labores de los usuarios, según lo definido en la ficha técnica. Se precisa que equipos con un mayor número de puertos o con características superiores serán igualmente admitidos, siempre que cumplan con dichos mínimos, garantizando así la funcionalidad, desempeño y vigencia tecnológica del producto.</w:t>
      </w:r>
      <w:r w:rsidR="00000000">
        <w:pict w14:anchorId="682A3F9A">
          <v:rect id="_x0000_i1039" style="width:0;height:1.5pt" o:hralign="center" o:hrstd="t" o:hr="t" fillcolor="#a0a0a0" stroked="f"/>
        </w:pict>
      </w:r>
    </w:p>
    <w:p w14:paraId="63AF7AD2"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OBSERVACIONES MONITORES</w:t>
      </w:r>
    </w:p>
    <w:p w14:paraId="5E07B5CF"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15. Puerto VGA</w:t>
      </w:r>
    </w:p>
    <w:p w14:paraId="68D6B923"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Solicitamos que el puerto </w:t>
      </w:r>
      <w:r>
        <w:rPr>
          <w:rFonts w:ascii="Arial" w:eastAsia="Arial" w:hAnsi="Arial" w:cs="Arial"/>
          <w:b/>
          <w:bCs/>
          <w:sz w:val="20"/>
          <w:szCs w:val="20"/>
        </w:rPr>
        <w:t>VGA</w:t>
      </w:r>
      <w:r>
        <w:rPr>
          <w:rFonts w:ascii="Arial" w:eastAsia="Arial" w:hAnsi="Arial" w:cs="Arial"/>
          <w:sz w:val="20"/>
          <w:szCs w:val="20"/>
        </w:rPr>
        <w:t xml:space="preserve"> sea opcional.</w:t>
      </w:r>
    </w:p>
    <w:p w14:paraId="108965FC"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Actualmente las plataformas corporativas utilizan principalmente conexiones </w:t>
      </w:r>
      <w:r>
        <w:rPr>
          <w:rFonts w:ascii="Arial" w:eastAsia="Arial" w:hAnsi="Arial" w:cs="Arial"/>
          <w:b/>
          <w:bCs/>
          <w:sz w:val="20"/>
          <w:szCs w:val="20"/>
        </w:rPr>
        <w:t>HDMI</w:t>
      </w:r>
      <w:r>
        <w:rPr>
          <w:rFonts w:ascii="Arial" w:eastAsia="Arial" w:hAnsi="Arial" w:cs="Arial"/>
          <w:sz w:val="20"/>
          <w:szCs w:val="20"/>
        </w:rPr>
        <w:t xml:space="preserve"> y </w:t>
      </w:r>
      <w:r>
        <w:rPr>
          <w:rFonts w:ascii="Arial" w:eastAsia="Arial" w:hAnsi="Arial" w:cs="Arial"/>
          <w:b/>
          <w:bCs/>
          <w:sz w:val="20"/>
          <w:szCs w:val="20"/>
        </w:rPr>
        <w:t>DisplayPort</w:t>
      </w:r>
      <w:r>
        <w:rPr>
          <w:rFonts w:ascii="Arial" w:eastAsia="Arial" w:hAnsi="Arial" w:cs="Arial"/>
          <w:sz w:val="20"/>
          <w:szCs w:val="20"/>
        </w:rPr>
        <w:t>, por lo cual exigir VGA limita innecesariamente la participación de fabricantes sin aportar ventajas técnicas para la Entidad.</w:t>
      </w:r>
    </w:p>
    <w:p w14:paraId="021A281A"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40811FB9" w14:textId="77777777" w:rsidR="00BE6367" w:rsidRDefault="00C90F6A">
      <w:pPr>
        <w:jc w:val="both"/>
        <w:rPr>
          <w:rFonts w:ascii="Arial" w:eastAsia="Arial" w:hAnsi="Arial" w:cs="Arial"/>
          <w:sz w:val="20"/>
          <w:szCs w:val="20"/>
        </w:rPr>
      </w:pPr>
      <w:r>
        <w:rPr>
          <w:rFonts w:ascii="Arial" w:eastAsia="Arial" w:hAnsi="Arial" w:cs="Arial"/>
          <w:sz w:val="20"/>
          <w:szCs w:val="20"/>
        </w:rPr>
        <w:t>Se acepta la observación y, en consecuencia, se modifica el requerimiento estableciendo que el puerto VGA será de carácter opcional en los monitores destinados a equipos de PC. Esto se define teniendo en cuenta que actualmente las plataformas corporativas utilizan principalmente conexiones HDMI.</w:t>
      </w:r>
    </w:p>
    <w:p w14:paraId="34AAD17B" w14:textId="77777777" w:rsidR="00BE6367" w:rsidRDefault="00000000">
      <w:pPr>
        <w:jc w:val="both"/>
        <w:rPr>
          <w:rFonts w:ascii="Arial" w:eastAsia="Arial" w:hAnsi="Arial" w:cs="Arial"/>
          <w:sz w:val="20"/>
          <w:szCs w:val="20"/>
        </w:rPr>
      </w:pPr>
      <w:r>
        <w:pict w14:anchorId="37D6DC8D">
          <v:rect id="_x0000_i1040" style="width:0;height:1.5pt" o:hralign="center" o:hrstd="t" o:hr="t" fillcolor="#a0a0a0" stroked="f"/>
        </w:pict>
      </w:r>
    </w:p>
    <w:p w14:paraId="18331AED"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15. Experiencia del Proponente</w:t>
      </w:r>
    </w:p>
    <w:p w14:paraId="7B9CB542"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Respetuosamente solicitamos a la Entidad modificar el requisito de experiencia habilitante, permitiendo que la misma pueda acreditarse con </w:t>
      </w:r>
      <w:r>
        <w:rPr>
          <w:rFonts w:ascii="Arial" w:eastAsia="Arial" w:hAnsi="Arial" w:cs="Arial"/>
          <w:b/>
          <w:bCs/>
          <w:sz w:val="20"/>
          <w:szCs w:val="20"/>
        </w:rPr>
        <w:t>hasta siete (7) contratos</w:t>
      </w:r>
      <w:r>
        <w:rPr>
          <w:rFonts w:ascii="Arial" w:eastAsia="Arial" w:hAnsi="Arial" w:cs="Arial"/>
          <w:sz w:val="20"/>
          <w:szCs w:val="20"/>
        </w:rPr>
        <w:t xml:space="preserve"> ejecutados y terminados, siempre que en conjunto cumplan con el porcentaje y las condiciones establecidas en el proceso.</w:t>
      </w:r>
    </w:p>
    <w:p w14:paraId="45E2A9E6"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La presente solicitud se fundamenta en los principios de </w:t>
      </w:r>
      <w:r>
        <w:rPr>
          <w:rFonts w:ascii="Arial" w:eastAsia="Arial" w:hAnsi="Arial" w:cs="Arial"/>
          <w:b/>
          <w:bCs/>
          <w:sz w:val="20"/>
          <w:szCs w:val="20"/>
        </w:rPr>
        <w:t>pluralidad de oferentes, libre concurrencia y selección objetiva</w:t>
      </w:r>
      <w:r>
        <w:rPr>
          <w:rFonts w:ascii="Arial" w:eastAsia="Arial" w:hAnsi="Arial" w:cs="Arial"/>
          <w:sz w:val="20"/>
          <w:szCs w:val="20"/>
        </w:rPr>
        <w:t>, toda vez que limitar la acreditación de la experiencia a un número menor de contratos restringe injustificadamente la participación de empresas que cuentan con amplia trayectoria y capacidad técnica, pero cuya experiencia se encuentra distribuida en varios contratos de naturaleza similar.</w:t>
      </w:r>
    </w:p>
    <w:p w14:paraId="239CBF63"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Permitir la acreditación mediante </w:t>
      </w:r>
      <w:r>
        <w:rPr>
          <w:rFonts w:ascii="Arial" w:eastAsia="Arial" w:hAnsi="Arial" w:cs="Arial"/>
          <w:b/>
          <w:bCs/>
          <w:sz w:val="20"/>
          <w:szCs w:val="20"/>
        </w:rPr>
        <w:t>hasta siete (7) contratos</w:t>
      </w:r>
      <w:r>
        <w:rPr>
          <w:rFonts w:ascii="Arial" w:eastAsia="Arial" w:hAnsi="Arial" w:cs="Arial"/>
          <w:sz w:val="20"/>
          <w:szCs w:val="20"/>
        </w:rPr>
        <w:t xml:space="preserve"> no disminuye la capacidad técnica requerida por la Entidad y, por el contrario, amplía la concurrencia de oferentes idóneos, garantizando una mayor competencia y mejores condiciones para el proceso de selección.</w:t>
      </w:r>
    </w:p>
    <w:p w14:paraId="4F6702D8"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OBSERVACIÓN</w:t>
      </w:r>
      <w:r>
        <w:rPr>
          <w:rFonts w:ascii="Arial" w:eastAsia="Arial" w:hAnsi="Arial" w:cs="Arial"/>
          <w:sz w:val="20"/>
          <w:szCs w:val="20"/>
        </w:rPr>
        <w:t xml:space="preserve">: </w:t>
      </w:r>
    </w:p>
    <w:p w14:paraId="3DE4F60E"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Se acepta parcialmente la observación. En consecuencia, la Entidad modificará el requisito de experiencia habilitante y permitirá que esta sea acreditada mediante la presentación de un máximo de ocho (8) contratos ejecutados y terminados o liquidados, según corresponda.</w:t>
      </w:r>
    </w:p>
    <w:p w14:paraId="13C04BE8"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determinación de este número responde a un análisis razonable y proporcional de la naturaleza, alcance, complejidad y diversidad de los componentes que integran el objeto de la negociación, el cual comprende, entre otros aspectos, la adquisición, implementación, configuración y soporte tecnológico de soluciones audiovisuales, equipos de cómputo, periféricos y demás bienes y servicios relacionados.</w:t>
      </w:r>
    </w:p>
    <w:p w14:paraId="532CCE6F"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Por lo anterior, el máximo de ocho (8) contratos permite ampliar las posibilidades de participación sin disminuir la idoneidad exigida a los oferentes ni comprometer la adecuada ejecución del futuro contrato. En todo caso, los contratos aportados deberán cumplir integralmente las condiciones de experiencia, correspondencia, cuantía y demás requisitos establecidos en la Ficha Técnica de Negociación —FTN—.</w:t>
      </w:r>
    </w:p>
    <w:p w14:paraId="78F85947"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Adicionalmente, se precisa que la modificación del requisito general de experiencia se aplicará sin perjuicio de los criterios diferenciales previstos en la Ficha Técnica de Negociación, en los siguientes términos:</w:t>
      </w:r>
    </w:p>
    <w:p w14:paraId="6A85FAA4" w14:textId="77777777" w:rsidR="00BE6367" w:rsidRDefault="00C90F6A">
      <w:pPr>
        <w:spacing w:before="240" w:after="240"/>
        <w:jc w:val="both"/>
        <w:rPr>
          <w:rFonts w:ascii="Arial" w:eastAsia="Arial" w:hAnsi="Arial" w:cs="Arial"/>
          <w:sz w:val="20"/>
          <w:szCs w:val="20"/>
        </w:rPr>
      </w:pPr>
      <w:r>
        <w:rPr>
          <w:rFonts w:ascii="Arial" w:eastAsia="Arial" w:hAnsi="Arial" w:cs="Arial"/>
          <w:b/>
          <w:bCs/>
          <w:sz w:val="20"/>
          <w:szCs w:val="20"/>
        </w:rPr>
        <w:t>Nota 1. Criterio diferencial para Mipyme:</w:t>
      </w:r>
      <w:r>
        <w:rPr>
          <w:rFonts w:ascii="Arial" w:eastAsia="Arial" w:hAnsi="Arial" w:cs="Arial"/>
          <w:sz w:val="20"/>
          <w:szCs w:val="20"/>
        </w:rPr>
        <w:t xml:space="preserve"> En aplicación del artículo 2.2.1.2.4.2.18 del Decreto 1082 de 2015, adicionado por el Decreto 1860 de 2021, las Mipyme que participen en el proceso podrán acreditar la experiencia mediante la presentación de hasta diez (10) contratos, siempre que acrediten dicha condición en los términos establecidos en el artículo 2.2.1.2.4.2.4 del Decreto 1082 de 2015. Este criterio diferencial se establece con el propósito de facilitar su participación, sin afectar las condiciones mínimas necesarias para garantizar el cumplimiento del objeto contractual.</w:t>
      </w:r>
    </w:p>
    <w:p w14:paraId="30ED5D8A" w14:textId="77777777" w:rsidR="00BE6367" w:rsidRDefault="00C90F6A">
      <w:pPr>
        <w:spacing w:before="240" w:after="240"/>
        <w:jc w:val="both"/>
        <w:rPr>
          <w:rFonts w:ascii="Arial" w:eastAsia="Arial" w:hAnsi="Arial" w:cs="Arial"/>
          <w:sz w:val="20"/>
          <w:szCs w:val="20"/>
        </w:rPr>
      </w:pPr>
      <w:r>
        <w:rPr>
          <w:rFonts w:ascii="Arial" w:eastAsia="Arial" w:hAnsi="Arial" w:cs="Arial"/>
          <w:b/>
          <w:bCs/>
          <w:sz w:val="20"/>
          <w:szCs w:val="20"/>
        </w:rPr>
        <w:t>Nota 2. Criterio diferencial para personas, emprendimientos y empresas de personas con discapacidad:</w:t>
      </w:r>
      <w:r>
        <w:rPr>
          <w:rFonts w:ascii="Arial" w:eastAsia="Arial" w:hAnsi="Arial" w:cs="Arial"/>
          <w:sz w:val="20"/>
          <w:szCs w:val="20"/>
        </w:rPr>
        <w:t xml:space="preserve"> En aplicación del Decreto 287 de 2026, las personas naturales, los emprendimientos y las empresas de personas con discapacidad que acrediten alguna de las condiciones previstas en la normativa aplicable podrán demostrar la experiencia mediante la presentación de hasta diez (10) contratos, de acuerdo con las reglas y documentos establecidos en la Ficha Técnica de Negociación. Este requisito diferencial deberá aplicarse garantizando el cumplimiento adecuado del objeto contractual y atendiendo al principio de proporcionalidad.</w:t>
      </w:r>
    </w:p>
    <w:p w14:paraId="1D2A498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Entidad efectuará el respectivo ajuste en la Ficha Técnica de Negociación —FTN—, estableciendo:</w:t>
      </w:r>
    </w:p>
    <w:p w14:paraId="7A549EE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i. Un máximo de ocho (8) contratos para la acreditación de la experiencia habilitante general.</w:t>
      </w:r>
    </w:p>
    <w:p w14:paraId="1B620234"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ii. Un máximo de diez (10) contratos para los proponentes que acrediten la condición de Mipyme.</w:t>
      </w:r>
    </w:p>
    <w:p w14:paraId="19FB548B"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iii. Un máximo de diez (10) contratos para las personas naturales, los emprendimientos y las empresas de personas con discapacidad que acrediten las condiciones previstas en la normativa y en los documentos del proceso.</w:t>
      </w:r>
    </w:p>
    <w:p w14:paraId="59E70F31" w14:textId="77777777" w:rsidR="00BE6367" w:rsidRDefault="00BE6367">
      <w:pPr>
        <w:jc w:val="both"/>
        <w:rPr>
          <w:rFonts w:ascii="Arial" w:eastAsia="Arial" w:hAnsi="Arial" w:cs="Arial"/>
          <w:sz w:val="20"/>
          <w:szCs w:val="20"/>
        </w:rPr>
      </w:pPr>
    </w:p>
    <w:p w14:paraId="103EBB92" w14:textId="77777777" w:rsidR="00BE6367" w:rsidRDefault="00BE6367">
      <w:pPr>
        <w:jc w:val="both"/>
        <w:rPr>
          <w:rFonts w:ascii="Arial" w:eastAsia="Arial" w:hAnsi="Arial" w:cs="Arial"/>
          <w:sz w:val="20"/>
          <w:szCs w:val="20"/>
        </w:rPr>
      </w:pPr>
    </w:p>
    <w:p w14:paraId="51AE91AD" w14:textId="77777777" w:rsidR="00BE6367" w:rsidRDefault="00000000">
      <w:pPr>
        <w:jc w:val="both"/>
        <w:rPr>
          <w:rFonts w:ascii="Arial" w:eastAsia="Arial" w:hAnsi="Arial" w:cs="Arial"/>
          <w:sz w:val="20"/>
          <w:szCs w:val="20"/>
        </w:rPr>
      </w:pPr>
      <w:r>
        <w:lastRenderedPageBreak/>
        <w:pict w14:anchorId="48D7CC63">
          <v:rect id="_x0000_i1041" style="width:0;height:1.5pt" o:hralign="center" o:hrstd="t" o:hr="t" fillcolor="#a0a0a0" stroked="f"/>
        </w:pict>
      </w:r>
    </w:p>
    <w:p w14:paraId="3117782F"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16. Eliminación del componente de Gestión de Audiencias</w:t>
      </w:r>
    </w:p>
    <w:p w14:paraId="6C6A70D9"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Solicitamos respetuosamente eliminar el requerimiento relacionado con la </w:t>
      </w:r>
      <w:r>
        <w:rPr>
          <w:rFonts w:ascii="Arial" w:eastAsia="Arial" w:hAnsi="Arial" w:cs="Arial"/>
          <w:b/>
          <w:bCs/>
          <w:sz w:val="20"/>
          <w:szCs w:val="20"/>
        </w:rPr>
        <w:t>Gestión de Audiencias</w:t>
      </w:r>
      <w:r>
        <w:rPr>
          <w:rFonts w:ascii="Arial" w:eastAsia="Arial" w:hAnsi="Arial" w:cs="Arial"/>
          <w:sz w:val="20"/>
          <w:szCs w:val="20"/>
        </w:rPr>
        <w:t>, por considerar que dicho componente no guarda una relación directa con el objeto principal del proceso, orientado al suministro, implementación y soporte de infraestructura tecnológica, equipos de cómputo, periféricos y soluciones audiovisuales.</w:t>
      </w:r>
    </w:p>
    <w:p w14:paraId="4A782380" w14:textId="77777777" w:rsidR="00BE6367" w:rsidRDefault="00C90F6A">
      <w:pPr>
        <w:jc w:val="both"/>
        <w:rPr>
          <w:rFonts w:ascii="Arial" w:eastAsia="Arial" w:hAnsi="Arial" w:cs="Arial"/>
          <w:sz w:val="20"/>
          <w:szCs w:val="20"/>
        </w:rPr>
      </w:pPr>
      <w:r>
        <w:rPr>
          <w:rFonts w:ascii="Arial" w:eastAsia="Arial" w:hAnsi="Arial" w:cs="Arial"/>
          <w:sz w:val="20"/>
          <w:szCs w:val="20"/>
        </w:rPr>
        <w:t>La permanencia de este requisito restringe la participación de oferentes especializados en infraestructura tecnológica y favorece únicamente a proveedores que cuentan con soluciones específicas de gestión de audiencias, limitando la pluralidad de oferentes sin que ello represente un beneficio técnico proporcional para la Entidad.</w:t>
      </w:r>
    </w:p>
    <w:p w14:paraId="7DF6CA46"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En consecuencia, solicitamos retirar este requerimiento o, en su defecto, establecerlo como un componente opcional o independiente del alcance principal del proceso, garantizando así los principios de </w:t>
      </w:r>
      <w:r>
        <w:rPr>
          <w:rFonts w:ascii="Arial" w:eastAsia="Arial" w:hAnsi="Arial" w:cs="Arial"/>
          <w:b/>
          <w:bCs/>
          <w:sz w:val="20"/>
          <w:szCs w:val="20"/>
        </w:rPr>
        <w:t>libre concurrencia, igualdad de oportunidades, pluralidad de oferentes y selección objetiva</w:t>
      </w:r>
      <w:r>
        <w:rPr>
          <w:rFonts w:ascii="Arial" w:eastAsia="Arial" w:hAnsi="Arial" w:cs="Arial"/>
          <w:sz w:val="20"/>
          <w:szCs w:val="20"/>
        </w:rPr>
        <w:t xml:space="preserve"> previstos en la normativa de contratación pública. </w:t>
      </w:r>
    </w:p>
    <w:p w14:paraId="7FBAEB64" w14:textId="77777777" w:rsidR="00BE6367" w:rsidRDefault="00C90F6A">
      <w:pPr>
        <w:spacing w:before="240" w:after="240"/>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40E56738"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se acepta la observación. La inclusión del componente de Gestión de Audiencias responde a una necesidad real y debidamente identificada por la Entidad en la etapa de planeación del presente proceso, tal como consta en los estudios previos y en el análisis de sector que sustentan la contratación, los cuales contemplan expresamente el suministro del software de gestión de audiencias y de los equipos requeridos para dotar las salas destinadas a dicho fin.</w:t>
      </w:r>
    </w:p>
    <w:p w14:paraId="3BB5ADFB"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Entidad considera que la integración de este componente dentro del alcance principal del proceso junto con la infraestructura tecnológica, equipos de cómputo, periféricos y soluciones audiovisuales resulta técnica y administrativamente conveniente, en la medida en que garantiza la interoperabilidad de las soluciones, la responsabilidad unificada del contratista frente a la totalidad de los bienes y servicios suministrados, y la eficiencia en la ejecución y soporte del contrato, sin que ello implique el desconocimiento de los principios de libre concurrencia y selección objetiva, pues dicha necesidad fue determinada conforme al deber de planeación previsto en el artículo 25 de la Ley 80 de 1993 y en el Decreto 1082 de 2015.</w:t>
      </w:r>
    </w:p>
    <w:p w14:paraId="43E03978"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Frente a la solicitud subsidiaria de establecer este componente como un ítem opcional o independiente del alcance principal, la Entidad tampoco la acoge, por cuanto ello fraccionaría innecesariamente una necesidad que fue concebida de manera integral, dificultando la coordinación técnica y la responsabilidad contractual unificada que se pretende garantizar con el presente proceso.</w:t>
      </w:r>
    </w:p>
    <w:p w14:paraId="0C098EC8"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se mantiene el requerimiento de Gestión de Audiencias en los términos definidos en la ficha técnica.</w:t>
      </w:r>
    </w:p>
    <w:p w14:paraId="65B74E7E" w14:textId="77777777" w:rsidR="00BE6367" w:rsidRDefault="00BE6367">
      <w:pPr>
        <w:jc w:val="both"/>
        <w:rPr>
          <w:rFonts w:ascii="Arial" w:eastAsia="Arial" w:hAnsi="Arial" w:cs="Arial"/>
          <w:sz w:val="20"/>
          <w:szCs w:val="20"/>
        </w:rPr>
      </w:pPr>
    </w:p>
    <w:p w14:paraId="444B2EAF" w14:textId="77777777" w:rsidR="00BE6367" w:rsidRDefault="00BE6367">
      <w:pPr>
        <w:jc w:val="both"/>
        <w:rPr>
          <w:rFonts w:ascii="Arial" w:eastAsia="Arial" w:hAnsi="Arial" w:cs="Arial"/>
          <w:sz w:val="20"/>
          <w:szCs w:val="20"/>
        </w:rPr>
      </w:pPr>
    </w:p>
    <w:tbl>
      <w:tblPr>
        <w:tblStyle w:val="a4"/>
        <w:tblW w:w="8353" w:type="dxa"/>
        <w:tblInd w:w="0"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1570"/>
        <w:gridCol w:w="6783"/>
      </w:tblGrid>
      <w:tr w:rsidR="00BE6367" w14:paraId="3177CA57"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134AD388"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Sociedad C. B.:</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38A1C7B9"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MERCADO Y BOLSA S.A.</w:t>
            </w:r>
          </w:p>
        </w:tc>
      </w:tr>
      <w:tr w:rsidR="00BE6367" w14:paraId="237B8C82"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5B9A460B"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lastRenderedPageBreak/>
              <w:t>Fecha Registro:</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487DF70D"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2026-07-09 (12:54)</w:t>
            </w:r>
          </w:p>
        </w:tc>
      </w:tr>
    </w:tbl>
    <w:p w14:paraId="55CA2873" w14:textId="77777777" w:rsidR="00BE6367" w:rsidRDefault="00BE6367">
      <w:pPr>
        <w:jc w:val="both"/>
        <w:rPr>
          <w:rFonts w:ascii="Arial" w:eastAsia="Arial" w:hAnsi="Arial" w:cs="Arial"/>
          <w:b/>
          <w:bCs/>
          <w:sz w:val="20"/>
          <w:szCs w:val="20"/>
        </w:rPr>
      </w:pPr>
    </w:p>
    <w:p w14:paraId="477E99B8"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Documento de Condiciones Especiales (DCE)</w:t>
      </w:r>
    </w:p>
    <w:p w14:paraId="5EDC0ECB" w14:textId="77777777" w:rsidR="00BE6367" w:rsidRDefault="00BE6367">
      <w:pPr>
        <w:jc w:val="both"/>
        <w:rPr>
          <w:rFonts w:ascii="Arial" w:eastAsia="Arial" w:hAnsi="Arial" w:cs="Arial"/>
          <w:sz w:val="20"/>
          <w:szCs w:val="20"/>
        </w:rPr>
      </w:pPr>
    </w:p>
    <w:p w14:paraId="3B30719D"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4C837524"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6A31CF80"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13F25125" w14:textId="77777777" w:rsidR="00BE6367" w:rsidRDefault="00BE6367">
      <w:pPr>
        <w:jc w:val="both"/>
        <w:rPr>
          <w:rFonts w:ascii="Arial" w:eastAsia="Arial" w:hAnsi="Arial" w:cs="Arial"/>
          <w:sz w:val="20"/>
          <w:szCs w:val="20"/>
        </w:rPr>
      </w:pPr>
    </w:p>
    <w:p w14:paraId="521FC4A5" w14:textId="77777777" w:rsidR="00BE6367" w:rsidRDefault="00BE6367">
      <w:pPr>
        <w:jc w:val="both"/>
        <w:rPr>
          <w:rFonts w:ascii="Arial" w:eastAsia="Arial" w:hAnsi="Arial" w:cs="Arial"/>
          <w:sz w:val="20"/>
          <w:szCs w:val="20"/>
        </w:rPr>
      </w:pPr>
    </w:p>
    <w:p w14:paraId="27C7BD5E"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 xml:space="preserve">Documento(s) Adjunto(s): </w:t>
      </w:r>
    </w:p>
    <w:p w14:paraId="34B8874E" w14:textId="77777777" w:rsidR="00BE6367" w:rsidRDefault="00BE6367">
      <w:pPr>
        <w:jc w:val="both"/>
        <w:rPr>
          <w:rFonts w:ascii="Arial" w:eastAsia="Arial" w:hAnsi="Arial" w:cs="Arial"/>
          <w:sz w:val="20"/>
          <w:szCs w:val="20"/>
        </w:rPr>
      </w:pPr>
    </w:p>
    <w:p w14:paraId="262B921B" w14:textId="77777777" w:rsidR="00BE6367" w:rsidRDefault="00BE6367">
      <w:pPr>
        <w:jc w:val="both"/>
        <w:rPr>
          <w:rFonts w:ascii="Arial" w:eastAsia="Arial" w:hAnsi="Arial" w:cs="Arial"/>
          <w:sz w:val="20"/>
          <w:szCs w:val="20"/>
        </w:rPr>
      </w:pPr>
    </w:p>
    <w:p w14:paraId="7090D652" w14:textId="77777777" w:rsidR="00BE6367" w:rsidRDefault="00BE6367">
      <w:pPr>
        <w:jc w:val="both"/>
        <w:rPr>
          <w:rFonts w:ascii="Arial" w:eastAsia="Arial" w:hAnsi="Arial" w:cs="Arial"/>
          <w:sz w:val="20"/>
          <w:szCs w:val="20"/>
        </w:rPr>
      </w:pPr>
    </w:p>
    <w:p w14:paraId="7F7AF0AF"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Ficha Técnica de Negociación</w:t>
      </w:r>
    </w:p>
    <w:p w14:paraId="2A70752B" w14:textId="77777777" w:rsidR="00BE6367" w:rsidRDefault="00BE6367">
      <w:pPr>
        <w:jc w:val="both"/>
        <w:rPr>
          <w:rFonts w:ascii="Arial" w:eastAsia="Arial" w:hAnsi="Arial" w:cs="Arial"/>
          <w:sz w:val="20"/>
          <w:szCs w:val="20"/>
        </w:rPr>
      </w:pPr>
    </w:p>
    <w:p w14:paraId="374BB562" w14:textId="77777777" w:rsidR="00BE6367" w:rsidRDefault="00BE6367">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p>
    <w:p w14:paraId="6E7A445E" w14:textId="77777777" w:rsidR="00BE6367" w:rsidRDefault="00C90F6A">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r>
        <w:rPr>
          <w:rFonts w:ascii="Arial" w:eastAsia="Arial" w:hAnsi="Arial" w:cs="Arial"/>
          <w:sz w:val="20"/>
          <w:szCs w:val="20"/>
        </w:rPr>
        <w:t>Observaciones Boletín Informativo No. RS 1616, del proceso de Selección de la PROCURADURÍA GENERAL DE LA NACIÓN</w:t>
      </w:r>
    </w:p>
    <w:p w14:paraId="639DCD32" w14:textId="77777777" w:rsidR="00BE6367" w:rsidRDefault="00BE6367">
      <w:pPr>
        <w:jc w:val="both"/>
        <w:rPr>
          <w:rFonts w:ascii="Arial" w:eastAsia="Arial" w:hAnsi="Arial" w:cs="Arial"/>
          <w:sz w:val="20"/>
          <w:szCs w:val="20"/>
        </w:rPr>
      </w:pPr>
    </w:p>
    <w:p w14:paraId="37D5EB87" w14:textId="77777777" w:rsidR="00BE6367" w:rsidRDefault="00BE6367">
      <w:pPr>
        <w:jc w:val="both"/>
        <w:rPr>
          <w:rFonts w:ascii="Arial" w:eastAsia="Arial" w:hAnsi="Arial" w:cs="Arial"/>
          <w:sz w:val="20"/>
          <w:szCs w:val="20"/>
        </w:rPr>
      </w:pPr>
    </w:p>
    <w:p w14:paraId="24B97741" w14:textId="77777777" w:rsidR="00BE6367" w:rsidRPr="00AA7016"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lang w:val="pt-PT"/>
        </w:rPr>
      </w:pPr>
      <w:r w:rsidRPr="00AA7016">
        <w:rPr>
          <w:rFonts w:ascii="Arial" w:eastAsia="Arial" w:hAnsi="Arial" w:cs="Arial"/>
          <w:sz w:val="20"/>
          <w:szCs w:val="20"/>
          <w:lang w:val="pt-PT"/>
        </w:rPr>
        <w:t>Documento(s) Adjunto(s): Sí</w:t>
      </w:r>
    </w:p>
    <w:p w14:paraId="7A20D0F3" w14:textId="77777777" w:rsidR="00BE6367" w:rsidRPr="00AA7016" w:rsidRDefault="00BE6367">
      <w:pPr>
        <w:jc w:val="both"/>
        <w:rPr>
          <w:rFonts w:ascii="Arial" w:eastAsia="Arial" w:hAnsi="Arial" w:cs="Arial"/>
          <w:sz w:val="20"/>
          <w:szCs w:val="20"/>
          <w:lang w:val="pt-PT"/>
        </w:rPr>
      </w:pPr>
    </w:p>
    <w:p w14:paraId="57FD0066" w14:textId="77777777" w:rsidR="00BE6367" w:rsidRPr="00AA7016" w:rsidRDefault="00C90F6A">
      <w:pPr>
        <w:jc w:val="both"/>
        <w:rPr>
          <w:rFonts w:ascii="Arial" w:eastAsia="Arial" w:hAnsi="Arial" w:cs="Arial"/>
          <w:sz w:val="20"/>
          <w:szCs w:val="20"/>
          <w:lang w:val="pt-PT"/>
        </w:rPr>
      </w:pPr>
      <w:r w:rsidRPr="00AA7016">
        <w:rPr>
          <w:rFonts w:ascii="Arial" w:eastAsia="Arial" w:hAnsi="Arial" w:cs="Arial"/>
          <w:sz w:val="20"/>
          <w:szCs w:val="20"/>
          <w:lang w:val="pt-PT"/>
        </w:rPr>
        <w:t>Respetados Señores(as):</w:t>
      </w:r>
    </w:p>
    <w:p w14:paraId="2005284A" w14:textId="77777777" w:rsidR="00BE6367" w:rsidRDefault="00C90F6A">
      <w:pPr>
        <w:jc w:val="both"/>
        <w:rPr>
          <w:rFonts w:ascii="Arial" w:eastAsia="Arial" w:hAnsi="Arial" w:cs="Arial"/>
          <w:sz w:val="20"/>
          <w:szCs w:val="20"/>
        </w:rPr>
      </w:pPr>
      <w:r>
        <w:rPr>
          <w:rFonts w:ascii="Arial" w:eastAsia="Arial" w:hAnsi="Arial" w:cs="Arial"/>
          <w:sz w:val="20"/>
          <w:szCs w:val="20"/>
        </w:rPr>
        <w:t>A continuación, relacionamos observación de fabrica al proceso: ¨</w:t>
      </w:r>
      <w:r>
        <w:rPr>
          <w:rFonts w:ascii="Arial" w:eastAsia="Arial" w:hAnsi="Arial" w:cs="Arial"/>
          <w:b/>
          <w:bCs/>
          <w:sz w:val="20"/>
          <w:szCs w:val="20"/>
        </w:rPr>
        <w:t>No. RS 1616</w:t>
      </w:r>
      <w:r>
        <w:rPr>
          <w:rFonts w:ascii="Arial" w:eastAsia="Arial" w:hAnsi="Arial" w:cs="Arial"/>
          <w:sz w:val="20"/>
          <w:szCs w:val="20"/>
        </w:rPr>
        <w:t>, del proceso de Selección de la </w:t>
      </w:r>
      <w:r>
        <w:rPr>
          <w:rFonts w:ascii="Arial" w:eastAsia="Arial" w:hAnsi="Arial" w:cs="Arial"/>
          <w:b/>
          <w:bCs/>
          <w:sz w:val="20"/>
          <w:szCs w:val="20"/>
        </w:rPr>
        <w:t>PROCURADURÍA GENERAL DE LA NACIÓN </w:t>
      </w:r>
      <w:r>
        <w:rPr>
          <w:rFonts w:ascii="Arial" w:eastAsia="Arial" w:hAnsi="Arial" w:cs="Arial"/>
          <w:sz w:val="20"/>
          <w:szCs w:val="20"/>
        </w:rPr>
        <w:t>para la adquisición de </w:t>
      </w:r>
      <w:r>
        <w:rPr>
          <w:rFonts w:ascii="Arial" w:eastAsia="Arial" w:hAnsi="Arial" w:cs="Arial"/>
          <w:b/>
          <w:bCs/>
          <w:sz w:val="20"/>
          <w:szCs w:val="20"/>
        </w:rPr>
        <w:t>ADQUISICIÓN, IMPLEMENTACIÓN Y SOPORTE TECNOLÓGICO¨:</w:t>
      </w:r>
    </w:p>
    <w:p w14:paraId="00E7738E" w14:textId="77777777" w:rsidR="00BE6367" w:rsidRDefault="00BE6367">
      <w:pPr>
        <w:jc w:val="both"/>
        <w:rPr>
          <w:rFonts w:ascii="Arial" w:eastAsia="Arial" w:hAnsi="Arial" w:cs="Arial"/>
          <w:sz w:val="20"/>
          <w:szCs w:val="20"/>
        </w:rPr>
      </w:pPr>
    </w:p>
    <w:p w14:paraId="4A48CBCD" w14:textId="77777777" w:rsidR="00BE6367" w:rsidRDefault="00C90F6A">
      <w:pPr>
        <w:shd w:val="clear" w:color="auto" w:fill="A5C9EB"/>
        <w:jc w:val="both"/>
        <w:rPr>
          <w:rFonts w:ascii="Arial" w:eastAsia="Arial" w:hAnsi="Arial" w:cs="Arial"/>
          <w:b/>
          <w:bCs/>
          <w:sz w:val="20"/>
          <w:szCs w:val="20"/>
        </w:rPr>
      </w:pPr>
      <w:r>
        <w:rPr>
          <w:rFonts w:ascii="Arial" w:eastAsia="Arial" w:hAnsi="Arial" w:cs="Arial"/>
          <w:b/>
          <w:bCs/>
          <w:sz w:val="20"/>
          <w:szCs w:val="20"/>
        </w:rPr>
        <w:t>Observación técnica 1</w:t>
      </w:r>
    </w:p>
    <w:p w14:paraId="65BF60AC"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Respetuosamente solicitamos a la entidad revisar la especificación técnica que exige una pantalla LED All-in-One que sea simultáneamente plegable y táctil, ya que, de acuerdo con la oferta disponible de los principales fabricantes del mercado internacional, actualmente no hay equipo comercial estándar que integre ambas características en un mismo producto.</w:t>
      </w:r>
    </w:p>
    <w:p w14:paraId="79EC8CAF" w14:textId="77777777" w:rsidR="00BE6367" w:rsidRDefault="00C90F6A">
      <w:pPr>
        <w:jc w:val="both"/>
        <w:rPr>
          <w:rFonts w:ascii="Arial" w:eastAsia="Arial" w:hAnsi="Arial" w:cs="Arial"/>
          <w:sz w:val="20"/>
          <w:szCs w:val="20"/>
        </w:rPr>
      </w:pPr>
      <w:r>
        <w:rPr>
          <w:rFonts w:ascii="Arial" w:eastAsia="Arial" w:hAnsi="Arial" w:cs="Arial"/>
          <w:sz w:val="20"/>
          <w:szCs w:val="20"/>
        </w:rPr>
        <w:t>Si bien algunos fabricantes ofrecen pantallas All-in-One plegables y otros disponen de modelos All-in-One con funcionalidad táctil, estas características se encuentran en líneas de productos diferentes y no convergen en un único equipo de fabricación estándar.</w:t>
      </w:r>
    </w:p>
    <w:p w14:paraId="02DE0C7D" w14:textId="77777777" w:rsidR="00BE6367" w:rsidRDefault="00C90F6A">
      <w:pPr>
        <w:jc w:val="both"/>
        <w:rPr>
          <w:rFonts w:ascii="Arial" w:eastAsia="Arial" w:hAnsi="Arial" w:cs="Arial"/>
          <w:sz w:val="20"/>
          <w:szCs w:val="20"/>
        </w:rPr>
      </w:pPr>
      <w:r>
        <w:rPr>
          <w:rFonts w:ascii="Arial" w:eastAsia="Arial" w:hAnsi="Arial" w:cs="Arial"/>
          <w:sz w:val="20"/>
          <w:szCs w:val="20"/>
        </w:rPr>
        <w:t>Por lo anterior, solicitamos respetuosamente a la entidad aclarar cuál de las dos características resulta indispensable para satisfacer la necesidad del proyecto, si la condición de pantalla plegable o la funcionalidad táctil, toda vez que, de acuerdo con la oferta comercial disponible en el mercado para pantallas LED All-in-One de 136 pulgadas</w:t>
      </w:r>
    </w:p>
    <w:p w14:paraId="1B91D514" w14:textId="77777777" w:rsidR="00BE6367" w:rsidRDefault="00BE6367">
      <w:pPr>
        <w:jc w:val="both"/>
        <w:rPr>
          <w:rFonts w:ascii="Arial" w:eastAsia="Arial" w:hAnsi="Arial" w:cs="Arial"/>
          <w:b/>
          <w:bCs/>
          <w:sz w:val="20"/>
          <w:szCs w:val="20"/>
        </w:rPr>
      </w:pPr>
    </w:p>
    <w:p w14:paraId="44A8268D"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RESPUESTA OBSERVACIÓN:</w:t>
      </w:r>
    </w:p>
    <w:p w14:paraId="01DBC83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aclara que, para el presente ítem, la característica indispensable para satisfacer la necesidad identificada por la Entidad es la condición de pantalla LED All-in-One plegable de 136", en atención a que dicha funcionalidad resulta determinante para el uso itinerante y de despliegue flexible previsto para el equipo, conforme a los requerimientos de la presente contratación.</w:t>
      </w:r>
    </w:p>
    <w:p w14:paraId="679D9DE8"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se precisa que no se requiere funcionalidad táctil ni sistema interactivo para este ítem, quedando sin efecto cualquier especificación técnica de la ficha que presupone dicha característica. La Entidad ajustará la ficha técnica para eliminar las referencias a interactividad táctil que resulten incompatibles con la presente aclaración, y para actualizar la denominación del ítem, en caso de que la misma haga alusión a la condición de "pantalla interactiva".</w:t>
      </w:r>
    </w:p>
    <w:p w14:paraId="24BFADA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Lo anterior, sin perjuicio de que el proponente pueda ofertar, de manera adicional y no obligatoria, un equipo que cuente con funcionalidad táctil, siempre que ello no implique el incumplimiento de la condición de plegado exigida como característica indispensable.</w:t>
      </w:r>
    </w:p>
    <w:p w14:paraId="68754DAF" w14:textId="77777777" w:rsidR="00BE6367" w:rsidRDefault="00BE6367">
      <w:pPr>
        <w:jc w:val="both"/>
        <w:rPr>
          <w:rFonts w:ascii="Arial" w:eastAsia="Arial" w:hAnsi="Arial" w:cs="Arial"/>
          <w:sz w:val="20"/>
          <w:szCs w:val="20"/>
        </w:rPr>
      </w:pPr>
    </w:p>
    <w:p w14:paraId="77321BFF" w14:textId="77777777" w:rsidR="00BE6367" w:rsidRDefault="00C90F6A">
      <w:pPr>
        <w:shd w:val="clear" w:color="auto" w:fill="A5C9EB"/>
        <w:jc w:val="both"/>
        <w:rPr>
          <w:rFonts w:ascii="Arial" w:eastAsia="Arial" w:hAnsi="Arial" w:cs="Arial"/>
          <w:b/>
          <w:bCs/>
          <w:sz w:val="20"/>
          <w:szCs w:val="20"/>
        </w:rPr>
      </w:pPr>
      <w:r>
        <w:rPr>
          <w:rFonts w:ascii="Arial" w:eastAsia="Arial" w:hAnsi="Arial" w:cs="Arial"/>
          <w:b/>
          <w:bCs/>
          <w:sz w:val="20"/>
          <w:szCs w:val="20"/>
        </w:rPr>
        <w:t>Observación técnica 2</w:t>
      </w:r>
    </w:p>
    <w:tbl>
      <w:tblPr>
        <w:tblStyle w:val="a5"/>
        <w:tblW w:w="4217" w:type="dxa"/>
        <w:tblInd w:w="0" w:type="dxa"/>
        <w:tblLayout w:type="fixed"/>
        <w:tblLook w:val="0400" w:firstRow="0" w:lastRow="0" w:firstColumn="0" w:lastColumn="0" w:noHBand="0" w:noVBand="1"/>
      </w:tblPr>
      <w:tblGrid>
        <w:gridCol w:w="4004"/>
        <w:gridCol w:w="213"/>
      </w:tblGrid>
      <w:tr w:rsidR="00BE6367" w14:paraId="4D969782" w14:textId="77777777">
        <w:trPr>
          <w:gridAfter w:val="1"/>
          <w:wAfter w:w="213" w:type="dxa"/>
          <w:trHeight w:val="172"/>
        </w:trPr>
        <w:tc>
          <w:tcPr>
            <w:tcW w:w="4004" w:type="dxa"/>
            <w:tcBorders>
              <w:top w:val="single" w:sz="4" w:space="0" w:color="000000"/>
              <w:left w:val="single" w:sz="4" w:space="0" w:color="000000"/>
              <w:bottom w:val="single" w:sz="4" w:space="0" w:color="000000"/>
              <w:right w:val="single" w:sz="4" w:space="0" w:color="000000"/>
            </w:tcBorders>
            <w:vAlign w:val="center"/>
          </w:tcPr>
          <w:p w14:paraId="5868F547"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MONITOR TACTIL INTERACTIVO</w:t>
            </w:r>
          </w:p>
        </w:tc>
      </w:tr>
      <w:tr w:rsidR="00BE6367" w14:paraId="04AAE7C6" w14:textId="77777777">
        <w:trPr>
          <w:gridAfter w:val="1"/>
          <w:wAfter w:w="213" w:type="dxa"/>
          <w:trHeight w:val="172"/>
        </w:trPr>
        <w:tc>
          <w:tcPr>
            <w:tcW w:w="4004" w:type="dxa"/>
            <w:tcBorders>
              <w:top w:val="nil"/>
              <w:left w:val="single" w:sz="4" w:space="0" w:color="000000"/>
              <w:bottom w:val="single" w:sz="4" w:space="0" w:color="000000"/>
              <w:right w:val="single" w:sz="4" w:space="0" w:color="000000"/>
            </w:tcBorders>
            <w:vAlign w:val="center"/>
          </w:tcPr>
          <w:p w14:paraId="253F3397"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44320</w:t>
            </w:r>
          </w:p>
        </w:tc>
      </w:tr>
      <w:tr w:rsidR="00BE6367" w14:paraId="72FC2D76" w14:textId="77777777">
        <w:trPr>
          <w:gridAfter w:val="1"/>
          <w:wAfter w:w="213" w:type="dxa"/>
          <w:trHeight w:val="499"/>
        </w:trPr>
        <w:tc>
          <w:tcPr>
            <w:tcW w:w="4004" w:type="dxa"/>
            <w:vMerge w:val="restart"/>
            <w:tcBorders>
              <w:top w:val="nil"/>
              <w:left w:val="single" w:sz="4" w:space="0" w:color="000000"/>
              <w:bottom w:val="single" w:sz="4" w:space="0" w:color="000000"/>
              <w:right w:val="single" w:sz="4" w:space="0" w:color="000000"/>
            </w:tcBorders>
            <w:vAlign w:val="center"/>
          </w:tcPr>
          <w:p w14:paraId="2B8A4816"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PANTALLA INTERACTIVA 65”</w:t>
            </w:r>
          </w:p>
        </w:tc>
      </w:tr>
      <w:tr w:rsidR="00BE6367" w14:paraId="43B690E8" w14:textId="77777777">
        <w:trPr>
          <w:trHeight w:val="172"/>
        </w:trPr>
        <w:tc>
          <w:tcPr>
            <w:tcW w:w="4004" w:type="dxa"/>
            <w:vMerge/>
            <w:tcBorders>
              <w:top w:val="nil"/>
              <w:left w:val="single" w:sz="4" w:space="0" w:color="000000"/>
              <w:bottom w:val="single" w:sz="4" w:space="0" w:color="000000"/>
              <w:right w:val="single" w:sz="4" w:space="0" w:color="000000"/>
            </w:tcBorders>
            <w:vAlign w:val="center"/>
          </w:tcPr>
          <w:p w14:paraId="4F68EDEB" w14:textId="77777777" w:rsidR="00BE6367" w:rsidRDefault="00BE6367">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tc>
        <w:tc>
          <w:tcPr>
            <w:tcW w:w="213" w:type="dxa"/>
            <w:tcBorders>
              <w:top w:val="nil"/>
              <w:left w:val="nil"/>
              <w:bottom w:val="nil"/>
              <w:right w:val="nil"/>
            </w:tcBorders>
            <w:vAlign w:val="bottom"/>
          </w:tcPr>
          <w:p w14:paraId="077C3980" w14:textId="77777777" w:rsidR="00BE6367" w:rsidRDefault="00BE6367">
            <w:pPr>
              <w:jc w:val="both"/>
              <w:rPr>
                <w:rFonts w:ascii="Arial" w:eastAsia="Arial" w:hAnsi="Arial" w:cs="Arial"/>
                <w:color w:val="000000"/>
                <w:sz w:val="20"/>
                <w:szCs w:val="20"/>
              </w:rPr>
            </w:pPr>
          </w:p>
        </w:tc>
      </w:tr>
    </w:tbl>
    <w:p w14:paraId="4DE1F0F8" w14:textId="77777777" w:rsidR="00BE6367" w:rsidRDefault="00BE6367">
      <w:pPr>
        <w:jc w:val="both"/>
        <w:rPr>
          <w:rFonts w:ascii="Arial" w:eastAsia="Arial" w:hAnsi="Arial" w:cs="Arial"/>
          <w:sz w:val="20"/>
          <w:szCs w:val="20"/>
        </w:rPr>
      </w:pPr>
    </w:p>
    <w:tbl>
      <w:tblPr>
        <w:tblStyle w:val="a6"/>
        <w:tblW w:w="10060" w:type="dxa"/>
        <w:tblInd w:w="0" w:type="dxa"/>
        <w:tblLayout w:type="fixed"/>
        <w:tblLook w:val="0400" w:firstRow="0" w:lastRow="0" w:firstColumn="0" w:lastColumn="0" w:noHBand="0" w:noVBand="1"/>
      </w:tblPr>
      <w:tblGrid>
        <w:gridCol w:w="1078"/>
        <w:gridCol w:w="1145"/>
        <w:gridCol w:w="3307"/>
        <w:gridCol w:w="4530"/>
      </w:tblGrid>
      <w:tr w:rsidR="00BE6367" w14:paraId="7ECACB1B" w14:textId="77777777">
        <w:trPr>
          <w:trHeight w:val="1410"/>
        </w:trPr>
        <w:tc>
          <w:tcPr>
            <w:tcW w:w="1078" w:type="dxa"/>
            <w:tcBorders>
              <w:top w:val="single" w:sz="4" w:space="0" w:color="000000"/>
              <w:left w:val="single" w:sz="4" w:space="0" w:color="000000"/>
              <w:bottom w:val="single" w:sz="4" w:space="0" w:color="000000"/>
              <w:right w:val="single" w:sz="4" w:space="0" w:color="000000"/>
            </w:tcBorders>
            <w:shd w:val="clear" w:color="auto" w:fill="CAEDFB"/>
            <w:tcMar>
              <w:top w:w="15" w:type="dxa"/>
              <w:left w:w="15" w:type="dxa"/>
              <w:bottom w:w="15" w:type="dxa"/>
              <w:right w:w="15" w:type="dxa"/>
            </w:tcMar>
            <w:vAlign w:val="center"/>
          </w:tcPr>
          <w:p w14:paraId="6FE62804" w14:textId="77777777" w:rsidR="00BE6367" w:rsidRDefault="00C90F6A">
            <w:pPr>
              <w:jc w:val="both"/>
              <w:rPr>
                <w:rFonts w:ascii="Arial" w:eastAsia="Arial" w:hAnsi="Arial" w:cs="Arial"/>
                <w:sz w:val="20"/>
                <w:szCs w:val="20"/>
              </w:rPr>
            </w:pPr>
            <w:r>
              <w:rPr>
                <w:rFonts w:ascii="Arial" w:eastAsia="Arial" w:hAnsi="Arial" w:cs="Arial"/>
                <w:sz w:val="20"/>
                <w:szCs w:val="20"/>
              </w:rPr>
              <w:t>Cámara integrada</w:t>
            </w:r>
          </w:p>
        </w:tc>
        <w:tc>
          <w:tcPr>
            <w:tcW w:w="11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B9A1E0E" w14:textId="77777777" w:rsidR="00BE6367" w:rsidRDefault="00C90F6A">
            <w:pPr>
              <w:jc w:val="both"/>
              <w:rPr>
                <w:rFonts w:ascii="Arial" w:eastAsia="Arial" w:hAnsi="Arial" w:cs="Arial"/>
                <w:sz w:val="20"/>
                <w:szCs w:val="20"/>
              </w:rPr>
            </w:pPr>
            <w:r>
              <w:rPr>
                <w:rFonts w:ascii="Arial" w:eastAsia="Arial" w:hAnsi="Arial" w:cs="Arial"/>
                <w:sz w:val="20"/>
                <w:szCs w:val="20"/>
              </w:rPr>
              <w:t>50 megapíxeles y campo de visión HFOV 98°</w:t>
            </w:r>
          </w:p>
        </w:tc>
        <w:tc>
          <w:tcPr>
            <w:tcW w:w="3307" w:type="dxa"/>
            <w:tcBorders>
              <w:top w:val="single" w:sz="4" w:space="0" w:color="000000"/>
              <w:left w:val="single" w:sz="4" w:space="0" w:color="000000"/>
              <w:bottom w:val="single" w:sz="4" w:space="0" w:color="000000"/>
              <w:right w:val="single" w:sz="4" w:space="0" w:color="000000"/>
            </w:tcBorders>
            <w:shd w:val="clear" w:color="auto" w:fill="FFFFCC"/>
            <w:tcMar>
              <w:top w:w="15" w:type="dxa"/>
              <w:left w:w="15" w:type="dxa"/>
              <w:bottom w:w="15" w:type="dxa"/>
              <w:right w:w="15" w:type="dxa"/>
            </w:tcMar>
            <w:vAlign w:val="center"/>
          </w:tcPr>
          <w:p w14:paraId="128001FD" w14:textId="77777777" w:rsidR="00BE6367" w:rsidRDefault="00C90F6A">
            <w:pPr>
              <w:jc w:val="both"/>
              <w:rPr>
                <w:rFonts w:ascii="Arial" w:eastAsia="Arial" w:hAnsi="Arial" w:cs="Arial"/>
                <w:sz w:val="20"/>
                <w:szCs w:val="20"/>
              </w:rPr>
            </w:pPr>
            <w:r>
              <w:rPr>
                <w:rFonts w:ascii="Arial" w:eastAsia="Arial" w:hAnsi="Arial" w:cs="Arial"/>
                <w:sz w:val="20"/>
                <w:szCs w:val="20"/>
              </w:rPr>
              <w:t>Video resolución 1920x1080 30fps</w:t>
            </w:r>
          </w:p>
        </w:tc>
        <w:tc>
          <w:tcPr>
            <w:tcW w:w="45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14:paraId="53D906F9" w14:textId="77777777" w:rsidR="00BE6367" w:rsidRDefault="00C90F6A">
            <w:pPr>
              <w:shd w:val="clear" w:color="auto" w:fill="A5C9EB"/>
              <w:jc w:val="both"/>
              <w:rPr>
                <w:rFonts w:ascii="Arial" w:eastAsia="Arial" w:hAnsi="Arial" w:cs="Arial"/>
                <w:b/>
                <w:bCs/>
                <w:sz w:val="20"/>
                <w:szCs w:val="20"/>
              </w:rPr>
            </w:pPr>
            <w:r>
              <w:rPr>
                <w:rFonts w:ascii="Arial" w:eastAsia="Arial" w:hAnsi="Arial" w:cs="Arial"/>
                <w:b/>
                <w:bCs/>
                <w:sz w:val="20"/>
                <w:szCs w:val="20"/>
              </w:rPr>
              <w:t>Observación</w:t>
            </w:r>
          </w:p>
          <w:p w14:paraId="47ED63E9"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Se recomienda a la entidad revisar y flexibilizar este criterio, debido a que las cámaras de las pantallas colaborativas están diseñadas para escenarios de videoconferencias con transmisión </w:t>
            </w:r>
            <w:r>
              <w:rPr>
                <w:rFonts w:ascii="Arial" w:eastAsia="Arial" w:hAnsi="Arial" w:cs="Arial"/>
                <w:sz w:val="20"/>
                <w:szCs w:val="20"/>
              </w:rPr>
              <w:lastRenderedPageBreak/>
              <w:t>de video, caso en el que la medida adecuada es la resolución de video y los fotogramas por segundo. En este caso, una resolución de 1920x1080p y una tasa de 30fps es óptima para dar una experiencia satisfactoria en escenarios educativos y corporativos.</w:t>
            </w:r>
          </w:p>
          <w:p w14:paraId="791EB93C" w14:textId="77777777" w:rsidR="00BE6367" w:rsidRDefault="00BE6367">
            <w:pPr>
              <w:jc w:val="both"/>
              <w:rPr>
                <w:rFonts w:ascii="Arial" w:eastAsia="Arial" w:hAnsi="Arial" w:cs="Arial"/>
                <w:sz w:val="20"/>
                <w:szCs w:val="20"/>
              </w:rPr>
            </w:pPr>
          </w:p>
          <w:p w14:paraId="2AB5199A" w14:textId="77777777" w:rsidR="00BE6367" w:rsidRDefault="00C90F6A">
            <w:pPr>
              <w:spacing w:after="0"/>
              <w:jc w:val="both"/>
              <w:rPr>
                <w:rFonts w:ascii="Arial" w:eastAsia="Arial" w:hAnsi="Arial" w:cs="Arial"/>
                <w:b/>
                <w:bCs/>
                <w:sz w:val="20"/>
                <w:szCs w:val="20"/>
              </w:rPr>
            </w:pPr>
            <w:r>
              <w:rPr>
                <w:rFonts w:ascii="Arial" w:eastAsia="Arial" w:hAnsi="Arial" w:cs="Arial"/>
                <w:b/>
                <w:bCs/>
                <w:sz w:val="20"/>
                <w:szCs w:val="20"/>
              </w:rPr>
              <w:t>RESPUESTA A OBSERVACIÓN:</w:t>
            </w:r>
          </w:p>
          <w:p w14:paraId="00A3E484"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se acepta la observación. La Entidad mantiene el requisito de cámara integrada de mínimo 50MP, así como el ángulo de visión (HFOV) exigido en la ficha técnica.</w:t>
            </w:r>
          </w:p>
          <w:p w14:paraId="2A825EF1"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Al respecto, la Entidad precisa que la resolución de sensor exigida (50MP) no resulta incompatible con el uso previsto de videoconferencia, ni implica una exigencia desproporcionada frente a dicho propósito, por cuanto la alta resolución del sensor permite, precisamente, ejecutar funciones de recorte digital, zoom sin pérdida de calidad y generación de múltiples encuadres virtuales a partir de una sola captura, funcionalidades estrechamente relacionadas con la capacidad de encuadre automático por inteligencia artificial (Smart Framing y equivalentes) exigida en otro punto de la ficha técnica. La resolución de transmisión de video (1920×1080p u otra que se defina como estándar de salida) se obtiene, en la práctica, a partir del procesamiento de la imagen capturada por dicho sensor, sin que ello suponga contradicción alguna entre ambos parámetros.</w:t>
            </w:r>
          </w:p>
          <w:p w14:paraId="668105D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se mantienen las exigencias de resolución de cámara (50MP) y ángulo de visión (HFOV) en los términos definidos en la ficha técnica.</w:t>
            </w:r>
          </w:p>
        </w:tc>
      </w:tr>
      <w:tr w:rsidR="00BE6367" w14:paraId="48252FFD" w14:textId="77777777">
        <w:trPr>
          <w:trHeight w:val="688"/>
        </w:trPr>
        <w:tc>
          <w:tcPr>
            <w:tcW w:w="1078" w:type="dxa"/>
            <w:tcBorders>
              <w:top w:val="single" w:sz="4" w:space="0" w:color="000000"/>
              <w:left w:val="single" w:sz="4" w:space="0" w:color="000000"/>
              <w:bottom w:val="single" w:sz="4" w:space="0" w:color="000000"/>
              <w:right w:val="single" w:sz="4" w:space="0" w:color="000000"/>
            </w:tcBorders>
            <w:shd w:val="clear" w:color="auto" w:fill="CAEDFB"/>
            <w:tcMar>
              <w:top w:w="15" w:type="dxa"/>
              <w:left w:w="15" w:type="dxa"/>
              <w:bottom w:w="15" w:type="dxa"/>
              <w:right w:w="15" w:type="dxa"/>
            </w:tcMar>
            <w:vAlign w:val="center"/>
          </w:tcPr>
          <w:p w14:paraId="44DECED5"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Micrófonos integrados</w:t>
            </w:r>
          </w:p>
        </w:tc>
        <w:tc>
          <w:tcPr>
            <w:tcW w:w="11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2B19D51" w14:textId="77777777" w:rsidR="00BE6367" w:rsidRDefault="00C90F6A">
            <w:pPr>
              <w:jc w:val="both"/>
              <w:rPr>
                <w:rFonts w:ascii="Arial" w:eastAsia="Arial" w:hAnsi="Arial" w:cs="Arial"/>
                <w:sz w:val="20"/>
                <w:szCs w:val="20"/>
              </w:rPr>
            </w:pPr>
            <w:r>
              <w:rPr>
                <w:rFonts w:ascii="Arial" w:eastAsia="Arial" w:hAnsi="Arial" w:cs="Arial"/>
                <w:sz w:val="20"/>
                <w:szCs w:val="20"/>
              </w:rPr>
              <w:t>16 micrófonos en el chasis con alcance mínimo de 10 metros</w:t>
            </w:r>
          </w:p>
        </w:tc>
        <w:tc>
          <w:tcPr>
            <w:tcW w:w="3307" w:type="dxa"/>
            <w:tcBorders>
              <w:top w:val="single" w:sz="4" w:space="0" w:color="000000"/>
              <w:left w:val="single" w:sz="4" w:space="0" w:color="000000"/>
              <w:bottom w:val="single" w:sz="4" w:space="0" w:color="000000"/>
              <w:right w:val="single" w:sz="4" w:space="0" w:color="000000"/>
            </w:tcBorders>
            <w:shd w:val="clear" w:color="auto" w:fill="FFFFCC"/>
            <w:tcMar>
              <w:top w:w="15" w:type="dxa"/>
              <w:left w:w="15" w:type="dxa"/>
              <w:bottom w:w="15" w:type="dxa"/>
              <w:right w:w="15" w:type="dxa"/>
            </w:tcMar>
            <w:vAlign w:val="center"/>
          </w:tcPr>
          <w:p w14:paraId="62ED0165" w14:textId="77777777" w:rsidR="00BE6367" w:rsidRDefault="00C90F6A">
            <w:pPr>
              <w:jc w:val="both"/>
              <w:rPr>
                <w:rFonts w:ascii="Arial" w:eastAsia="Arial" w:hAnsi="Arial" w:cs="Arial"/>
                <w:sz w:val="20"/>
                <w:szCs w:val="20"/>
              </w:rPr>
            </w:pPr>
            <w:r>
              <w:rPr>
                <w:rFonts w:ascii="Arial" w:eastAsia="Arial" w:hAnsi="Arial" w:cs="Arial"/>
                <w:sz w:val="20"/>
                <w:szCs w:val="20"/>
              </w:rPr>
              <w:t>8 micrófonos</w:t>
            </w:r>
            <w:r>
              <w:rPr>
                <w:rFonts w:ascii="Arial" w:eastAsia="Arial" w:hAnsi="Arial" w:cs="Arial"/>
                <w:sz w:val="20"/>
                <w:szCs w:val="20"/>
              </w:rPr>
              <w:br/>
              <w:t>10 metros</w:t>
            </w:r>
          </w:p>
        </w:tc>
        <w:tc>
          <w:tcPr>
            <w:tcW w:w="45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14:paraId="395B58C8" w14:textId="77777777" w:rsidR="00BE6367" w:rsidRDefault="00C90F6A">
            <w:pPr>
              <w:shd w:val="clear" w:color="auto" w:fill="A5C9EB"/>
              <w:jc w:val="both"/>
              <w:rPr>
                <w:rFonts w:ascii="Arial" w:eastAsia="Arial" w:hAnsi="Arial" w:cs="Arial"/>
                <w:b/>
                <w:bCs/>
                <w:sz w:val="20"/>
                <w:szCs w:val="20"/>
              </w:rPr>
            </w:pPr>
            <w:r>
              <w:rPr>
                <w:rFonts w:ascii="Arial" w:eastAsia="Arial" w:hAnsi="Arial" w:cs="Arial"/>
                <w:b/>
                <w:bCs/>
                <w:sz w:val="20"/>
                <w:szCs w:val="20"/>
              </w:rPr>
              <w:t>Observación</w:t>
            </w:r>
          </w:p>
          <w:p w14:paraId="0069C960" w14:textId="77777777" w:rsidR="00BE6367" w:rsidRDefault="00C90F6A">
            <w:pPr>
              <w:jc w:val="both"/>
              <w:rPr>
                <w:rFonts w:ascii="Arial" w:eastAsia="Arial" w:hAnsi="Arial" w:cs="Arial"/>
                <w:sz w:val="20"/>
                <w:szCs w:val="20"/>
              </w:rPr>
            </w:pPr>
            <w:r>
              <w:rPr>
                <w:rFonts w:ascii="Arial" w:eastAsia="Arial" w:hAnsi="Arial" w:cs="Arial"/>
                <w:sz w:val="20"/>
                <w:szCs w:val="20"/>
              </w:rPr>
              <w:t>Se recomienda a la entidad revisar y flexibilizar este criterio, debido a que 8 micrófonos pueden satisfacer las necesidades del espacio, ya que garantizan una distancia de captura de hasta 10 metros.</w:t>
            </w:r>
          </w:p>
          <w:p w14:paraId="755F1DBF"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5D05193B" w14:textId="77777777" w:rsidR="00BE6367" w:rsidRDefault="00C90F6A">
            <w:pPr>
              <w:pBdr>
                <w:top w:val="nil"/>
                <w:left w:val="nil"/>
                <w:bottom w:val="nil"/>
                <w:right w:val="nil"/>
                <w:between w:val="nil"/>
              </w:pBdr>
              <w:spacing w:before="240" w:after="240"/>
              <w:jc w:val="both"/>
              <w:rPr>
                <w:rFonts w:ascii="Arial" w:eastAsia="Arial" w:hAnsi="Arial" w:cs="Arial"/>
                <w:sz w:val="20"/>
                <w:szCs w:val="20"/>
              </w:rPr>
            </w:pPr>
            <w:r>
              <w:rPr>
                <w:rFonts w:ascii="Arial" w:eastAsia="Arial" w:hAnsi="Arial" w:cs="Arial"/>
                <w:sz w:val="20"/>
                <w:szCs w:val="20"/>
              </w:rPr>
              <w:t xml:space="preserve">Se acepta parcialmente la observación. La Entidad mantiene, para la Pantalla Interactiva de 65", el requerimiento de un mínimo de 16 micrófonos, por </w:t>
            </w:r>
            <w:r>
              <w:rPr>
                <w:rFonts w:ascii="Arial" w:eastAsia="Arial" w:hAnsi="Arial" w:cs="Arial"/>
                <w:sz w:val="20"/>
                <w:szCs w:val="20"/>
              </w:rPr>
              <w:lastRenderedPageBreak/>
              <w:t>corresponder a una necesidad orientada a garantizar una cobertura de captación de audio acorde con las dimensiones y el uso previsto para los espacios donde se instalará este equipo.</w:t>
            </w:r>
          </w:p>
          <w:p w14:paraId="27A5C36D" w14:textId="77777777" w:rsidR="00BE6367" w:rsidRDefault="00C90F6A">
            <w:pPr>
              <w:pBdr>
                <w:top w:val="nil"/>
                <w:left w:val="nil"/>
                <w:bottom w:val="nil"/>
                <w:right w:val="nil"/>
                <w:between w:val="nil"/>
              </w:pBdr>
              <w:spacing w:before="240" w:after="240"/>
              <w:jc w:val="both"/>
              <w:rPr>
                <w:rFonts w:ascii="Arial" w:eastAsia="Arial" w:hAnsi="Arial" w:cs="Arial"/>
                <w:sz w:val="20"/>
                <w:szCs w:val="20"/>
              </w:rPr>
            </w:pPr>
            <w:r>
              <w:rPr>
                <w:rFonts w:ascii="Arial" w:eastAsia="Arial" w:hAnsi="Arial" w:cs="Arial"/>
                <w:sz w:val="20"/>
                <w:szCs w:val="20"/>
              </w:rPr>
              <w:t>No obstante, se acoge la solicitud del observante anterior en cuanto a admitir que dicha cantidad se logre mediante micrófonos integrados en el chasis del equipo o micrófonos de expansión suministrados por el fabricante, bajo las siguientes condiciones: (i) los micrófonos integrados en el chasis del equipo deberán garantizar una cobertura de captación efectiva de mínimo 10 metros; y (ii) la totalidad de los micrófonos ofertados integrados o de expansión deberán contar con Reducción Activa de Ruido (ANR) y Control Automático de Ganancia (AGC), a fin de asegurar un estándar de calidad de audio acorde con las mejores prácticas de la industria.</w:t>
            </w:r>
          </w:p>
          <w:p w14:paraId="1D470205" w14:textId="77777777" w:rsidR="00BE6367" w:rsidRDefault="00C90F6A">
            <w:pPr>
              <w:pBdr>
                <w:top w:val="nil"/>
                <w:left w:val="nil"/>
                <w:bottom w:val="nil"/>
                <w:right w:val="nil"/>
                <w:between w:val="nil"/>
              </w:pBdr>
              <w:spacing w:before="240" w:after="240"/>
              <w:jc w:val="both"/>
              <w:rPr>
                <w:rFonts w:ascii="Arial" w:eastAsia="Arial" w:hAnsi="Arial" w:cs="Arial"/>
                <w:sz w:val="20"/>
                <w:szCs w:val="20"/>
              </w:rPr>
            </w:pPr>
            <w:r>
              <w:rPr>
                <w:rFonts w:ascii="Arial" w:eastAsia="Arial" w:hAnsi="Arial" w:cs="Arial"/>
                <w:sz w:val="20"/>
                <w:szCs w:val="20"/>
              </w:rPr>
              <w:t>En consecuencia, la ficha técnica de la Pantalla Interactiva de 65" será ajustada para precisar que el requisito de 16 micrófonos podrá cumplirse mediante micrófonos integrados o con módulos de expansión del mismo fabricante, exigiéndose en todo caso: (i) que los micrófonos integrados en el chasis garanticen una cobertura de captación efectiva de mínimo 10 metros, y (ii) tecnología ANR y AGC en la totalidad de los micrófonos ofertados.</w:t>
            </w:r>
          </w:p>
        </w:tc>
      </w:tr>
    </w:tbl>
    <w:p w14:paraId="55AEE343" w14:textId="77777777" w:rsidR="00BE6367" w:rsidRDefault="00BE6367">
      <w:pPr>
        <w:jc w:val="both"/>
        <w:rPr>
          <w:rFonts w:ascii="Arial" w:eastAsia="Arial" w:hAnsi="Arial" w:cs="Arial"/>
          <w:sz w:val="20"/>
          <w:szCs w:val="20"/>
        </w:rPr>
      </w:pPr>
    </w:p>
    <w:tbl>
      <w:tblPr>
        <w:tblStyle w:val="a7"/>
        <w:tblW w:w="8353" w:type="dxa"/>
        <w:tblInd w:w="0"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1570"/>
        <w:gridCol w:w="6783"/>
      </w:tblGrid>
      <w:tr w:rsidR="00BE6367" w14:paraId="4165BF36"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31515FD3"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Sociedad C. B.:</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19D5FD5E"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COMIAGRO S.A.</w:t>
            </w:r>
          </w:p>
        </w:tc>
      </w:tr>
      <w:tr w:rsidR="00BE6367" w14:paraId="74AB5ADD"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77656011"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Fecha Registro:</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07236A22"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2026-07-09 (14:05)</w:t>
            </w:r>
          </w:p>
        </w:tc>
      </w:tr>
    </w:tbl>
    <w:p w14:paraId="6CC9B92F" w14:textId="77777777" w:rsidR="00BE6367" w:rsidRDefault="00BE6367">
      <w:pPr>
        <w:jc w:val="both"/>
        <w:rPr>
          <w:rFonts w:ascii="Arial" w:eastAsia="Arial" w:hAnsi="Arial" w:cs="Arial"/>
          <w:b/>
          <w:bCs/>
          <w:sz w:val="20"/>
          <w:szCs w:val="20"/>
        </w:rPr>
      </w:pPr>
    </w:p>
    <w:p w14:paraId="11D2254E"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Documento de Condiciones Especiales (DCE)</w:t>
      </w:r>
    </w:p>
    <w:p w14:paraId="45EDE419" w14:textId="77777777" w:rsidR="00BE6367" w:rsidRDefault="00BE6367">
      <w:pPr>
        <w:jc w:val="both"/>
        <w:rPr>
          <w:rFonts w:ascii="Arial" w:eastAsia="Arial" w:hAnsi="Arial" w:cs="Arial"/>
          <w:sz w:val="20"/>
          <w:szCs w:val="20"/>
        </w:rPr>
      </w:pPr>
    </w:p>
    <w:p w14:paraId="525466DA"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0AFA95E3"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4A54CD07"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324A5BC9" w14:textId="77777777" w:rsidR="00BE6367" w:rsidRDefault="00BE6367">
      <w:pPr>
        <w:jc w:val="both"/>
        <w:rPr>
          <w:rFonts w:ascii="Arial" w:eastAsia="Arial" w:hAnsi="Arial" w:cs="Arial"/>
          <w:sz w:val="20"/>
          <w:szCs w:val="20"/>
        </w:rPr>
      </w:pPr>
    </w:p>
    <w:p w14:paraId="69B00A7B" w14:textId="77777777" w:rsidR="00BE6367" w:rsidRDefault="00BE6367">
      <w:pPr>
        <w:jc w:val="both"/>
        <w:rPr>
          <w:rFonts w:ascii="Arial" w:eastAsia="Arial" w:hAnsi="Arial" w:cs="Arial"/>
          <w:sz w:val="20"/>
          <w:szCs w:val="20"/>
        </w:rPr>
      </w:pPr>
    </w:p>
    <w:p w14:paraId="218EF012"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lastRenderedPageBreak/>
        <w:t xml:space="preserve">Documento(s) Adjunto(s): </w:t>
      </w:r>
    </w:p>
    <w:p w14:paraId="039C9EC9" w14:textId="77777777" w:rsidR="00BE6367" w:rsidRDefault="00BE6367">
      <w:pPr>
        <w:jc w:val="both"/>
        <w:rPr>
          <w:rFonts w:ascii="Arial" w:eastAsia="Arial" w:hAnsi="Arial" w:cs="Arial"/>
          <w:sz w:val="20"/>
          <w:szCs w:val="20"/>
        </w:rPr>
      </w:pPr>
    </w:p>
    <w:p w14:paraId="2A8439FF" w14:textId="77777777" w:rsidR="00BE6367" w:rsidRDefault="00BE6367">
      <w:pPr>
        <w:jc w:val="both"/>
        <w:rPr>
          <w:rFonts w:ascii="Arial" w:eastAsia="Arial" w:hAnsi="Arial" w:cs="Arial"/>
          <w:sz w:val="20"/>
          <w:szCs w:val="20"/>
        </w:rPr>
      </w:pPr>
    </w:p>
    <w:p w14:paraId="2DB1AF39" w14:textId="77777777" w:rsidR="00BE6367" w:rsidRDefault="00BE6367">
      <w:pPr>
        <w:jc w:val="both"/>
        <w:rPr>
          <w:rFonts w:ascii="Arial" w:eastAsia="Arial" w:hAnsi="Arial" w:cs="Arial"/>
          <w:sz w:val="20"/>
          <w:szCs w:val="20"/>
        </w:rPr>
      </w:pPr>
    </w:p>
    <w:p w14:paraId="149BF168"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Ficha Técnica de Negociación</w:t>
      </w:r>
    </w:p>
    <w:p w14:paraId="3D88D223" w14:textId="77777777" w:rsidR="00BE6367" w:rsidRDefault="00BE6367">
      <w:pPr>
        <w:jc w:val="both"/>
        <w:rPr>
          <w:rFonts w:ascii="Arial" w:eastAsia="Arial" w:hAnsi="Arial" w:cs="Arial"/>
          <w:sz w:val="20"/>
          <w:szCs w:val="20"/>
        </w:rPr>
      </w:pPr>
    </w:p>
    <w:p w14:paraId="44F25AC3" w14:textId="77777777" w:rsidR="00BE6367" w:rsidRDefault="00BE6367">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p>
    <w:p w14:paraId="2090C0B6" w14:textId="77777777" w:rsidR="00BE6367" w:rsidRDefault="00C90F6A">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r>
        <w:rPr>
          <w:rFonts w:ascii="Arial" w:eastAsia="Arial" w:hAnsi="Arial" w:cs="Arial"/>
          <w:sz w:val="20"/>
          <w:szCs w:val="20"/>
        </w:rPr>
        <w:t xml:space="preserve">ver adjunto </w:t>
      </w:r>
    </w:p>
    <w:p w14:paraId="6C3DBFBC" w14:textId="77777777" w:rsidR="00BE6367" w:rsidRDefault="00BE6367">
      <w:pPr>
        <w:jc w:val="both"/>
        <w:rPr>
          <w:rFonts w:ascii="Arial" w:eastAsia="Arial" w:hAnsi="Arial" w:cs="Arial"/>
          <w:sz w:val="20"/>
          <w:szCs w:val="20"/>
        </w:rPr>
      </w:pPr>
    </w:p>
    <w:p w14:paraId="17F1834A" w14:textId="77777777" w:rsidR="00BE6367" w:rsidRDefault="00BE6367">
      <w:pPr>
        <w:jc w:val="both"/>
        <w:rPr>
          <w:rFonts w:ascii="Arial" w:eastAsia="Arial" w:hAnsi="Arial" w:cs="Arial"/>
          <w:sz w:val="20"/>
          <w:szCs w:val="20"/>
        </w:rPr>
      </w:pPr>
    </w:p>
    <w:p w14:paraId="27466841"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Documento(s) Adjunto(s): Sí</w:t>
      </w:r>
    </w:p>
    <w:p w14:paraId="531A4C32" w14:textId="77777777" w:rsidR="00BE6367" w:rsidRDefault="00BE6367">
      <w:pPr>
        <w:jc w:val="both"/>
        <w:rPr>
          <w:rFonts w:ascii="Arial" w:eastAsia="Arial" w:hAnsi="Arial" w:cs="Arial"/>
          <w:sz w:val="20"/>
          <w:szCs w:val="20"/>
        </w:rPr>
      </w:pPr>
    </w:p>
    <w:p w14:paraId="32E9F80D" w14:textId="77777777" w:rsidR="00BE6367" w:rsidRDefault="00C90F6A">
      <w:pPr>
        <w:spacing w:before="120"/>
        <w:jc w:val="both"/>
        <w:rPr>
          <w:rFonts w:ascii="Arial" w:eastAsia="Arial" w:hAnsi="Arial" w:cs="Arial"/>
          <w:b/>
          <w:bCs/>
          <w:sz w:val="20"/>
          <w:szCs w:val="20"/>
        </w:rPr>
      </w:pPr>
      <w:r>
        <w:rPr>
          <w:rFonts w:ascii="Arial" w:eastAsia="Arial" w:hAnsi="Arial" w:cs="Arial"/>
          <w:b/>
          <w:bCs/>
          <w:sz w:val="20"/>
          <w:szCs w:val="20"/>
        </w:rPr>
        <w:t>OBSERVACIONES TÉCNICAS</w:t>
      </w:r>
    </w:p>
    <w:p w14:paraId="54DDD50D" w14:textId="77777777" w:rsidR="00BE6367" w:rsidRDefault="00C90F6A">
      <w:pPr>
        <w:spacing w:before="120"/>
        <w:jc w:val="both"/>
        <w:rPr>
          <w:rFonts w:ascii="Arial" w:eastAsia="Arial" w:hAnsi="Arial" w:cs="Arial"/>
          <w:b/>
          <w:bCs/>
          <w:sz w:val="20"/>
          <w:szCs w:val="20"/>
        </w:rPr>
      </w:pPr>
      <w:r>
        <w:rPr>
          <w:rFonts w:ascii="Arial" w:eastAsia="Arial" w:hAnsi="Arial" w:cs="Arial"/>
          <w:b/>
          <w:bCs/>
          <w:sz w:val="20"/>
          <w:szCs w:val="20"/>
        </w:rPr>
        <w:t>BMC – PROCURADURÍA GENERAL DE LA NACIÓN</w:t>
      </w:r>
    </w:p>
    <w:p w14:paraId="5D4334C1" w14:textId="77777777" w:rsidR="00BE6367" w:rsidRDefault="00BE6367">
      <w:pPr>
        <w:spacing w:before="120"/>
        <w:jc w:val="both"/>
        <w:rPr>
          <w:rFonts w:ascii="Arial" w:eastAsia="Arial" w:hAnsi="Arial" w:cs="Arial"/>
          <w:b/>
          <w:bCs/>
          <w:sz w:val="20"/>
          <w:szCs w:val="20"/>
        </w:rPr>
      </w:pPr>
    </w:p>
    <w:p w14:paraId="764BB291" w14:textId="77777777" w:rsidR="00BE6367" w:rsidRDefault="00C90F6A">
      <w:pPr>
        <w:spacing w:before="120"/>
        <w:jc w:val="both"/>
        <w:rPr>
          <w:rFonts w:ascii="Arial" w:eastAsia="Arial" w:hAnsi="Arial" w:cs="Arial"/>
          <w:b/>
          <w:bCs/>
          <w:sz w:val="20"/>
          <w:szCs w:val="20"/>
        </w:rPr>
      </w:pPr>
      <w:r>
        <w:rPr>
          <w:rFonts w:ascii="Arial" w:eastAsia="Arial" w:hAnsi="Arial" w:cs="Arial"/>
          <w:b/>
          <w:bCs/>
          <w:sz w:val="20"/>
          <w:szCs w:val="20"/>
        </w:rPr>
        <w:t xml:space="preserve">Documento: </w:t>
      </w:r>
      <w:r>
        <w:rPr>
          <w:rFonts w:ascii="Arial" w:eastAsia="Arial" w:hAnsi="Arial" w:cs="Arial"/>
          <w:sz w:val="20"/>
          <w:szCs w:val="20"/>
        </w:rPr>
        <w:t>FTN ficha tecnica de negociacion equipos de computo - perifericos - audiovisuales 160626 vfa (1).PDF</w:t>
      </w:r>
    </w:p>
    <w:p w14:paraId="510E5870" w14:textId="77777777" w:rsidR="00BE6367" w:rsidRDefault="00BE6367">
      <w:pPr>
        <w:spacing w:before="120"/>
        <w:jc w:val="both"/>
        <w:rPr>
          <w:rFonts w:ascii="Arial" w:eastAsia="Arial" w:hAnsi="Arial" w:cs="Arial"/>
          <w:b/>
          <w:bCs/>
          <w:sz w:val="20"/>
          <w:szCs w:val="20"/>
        </w:rPr>
      </w:pPr>
    </w:p>
    <w:p w14:paraId="2E63B2F4" w14:textId="77777777" w:rsidR="00BE6367" w:rsidRDefault="00C90F6A">
      <w:pPr>
        <w:spacing w:before="120"/>
        <w:jc w:val="both"/>
        <w:rPr>
          <w:rFonts w:ascii="Arial" w:eastAsia="Arial" w:hAnsi="Arial" w:cs="Arial"/>
          <w:b/>
          <w:bCs/>
          <w:sz w:val="20"/>
          <w:szCs w:val="20"/>
        </w:rPr>
      </w:pPr>
      <w:r>
        <w:rPr>
          <w:rFonts w:ascii="Arial" w:eastAsia="Arial" w:hAnsi="Arial" w:cs="Arial"/>
          <w:b/>
          <w:bCs/>
          <w:sz w:val="20"/>
          <w:szCs w:val="20"/>
        </w:rPr>
        <w:t>OBSERVACIÓN 1.</w:t>
      </w:r>
    </w:p>
    <w:p w14:paraId="41D5148E" w14:textId="77777777" w:rsidR="00BE6367" w:rsidRDefault="00C90F6A">
      <w:pPr>
        <w:spacing w:before="120"/>
        <w:jc w:val="both"/>
        <w:rPr>
          <w:rFonts w:ascii="Arial" w:eastAsia="Arial" w:hAnsi="Arial" w:cs="Arial"/>
          <w:b/>
          <w:bCs/>
          <w:sz w:val="20"/>
          <w:szCs w:val="20"/>
        </w:rPr>
      </w:pPr>
      <w:r>
        <w:rPr>
          <w:rFonts w:ascii="Arial" w:eastAsia="Arial" w:hAnsi="Arial" w:cs="Arial"/>
          <w:b/>
          <w:bCs/>
          <w:sz w:val="20"/>
          <w:szCs w:val="20"/>
        </w:rPr>
        <w:t xml:space="preserve">2. OBJETO </w:t>
      </w:r>
    </w:p>
    <w:p w14:paraId="2682643A" w14:textId="77777777" w:rsidR="00BE6367" w:rsidRDefault="00C90F6A">
      <w:pPr>
        <w:spacing w:before="120"/>
        <w:jc w:val="both"/>
        <w:rPr>
          <w:rFonts w:ascii="Arial" w:eastAsia="Arial" w:hAnsi="Arial" w:cs="Arial"/>
          <w:sz w:val="20"/>
          <w:szCs w:val="20"/>
        </w:rPr>
      </w:pPr>
      <w:r>
        <w:rPr>
          <w:rFonts w:ascii="Arial" w:eastAsia="Arial" w:hAnsi="Arial" w:cs="Arial"/>
          <w:sz w:val="20"/>
          <w:szCs w:val="20"/>
        </w:rPr>
        <w:t>Objeto de la Negociación: La presente negociación tiene como objeto ADQUISICIÓN, IMPLEMENTACIÓN Y SOPORTE TECNOLÓGICO QUE INCLUYA SOLUCIONES AUDIOVISUALES, EQUIPOS DE CÓMPUTO Y PERIFÉRICOS PARA LA PROCURADURÍA GENERAL DE LA NACIÓN”, de conformidad con el procedimiento establecido en el Reglamento de Funcionamiento y operación de la Bolsa para el Mercado de Compras Públicas.</w:t>
      </w:r>
    </w:p>
    <w:p w14:paraId="734BDA56" w14:textId="77777777" w:rsidR="00BE6367" w:rsidRDefault="00C90F6A">
      <w:pPr>
        <w:spacing w:before="120"/>
        <w:jc w:val="both"/>
        <w:rPr>
          <w:rFonts w:ascii="Arial" w:eastAsia="Arial" w:hAnsi="Arial" w:cs="Arial"/>
          <w:sz w:val="20"/>
          <w:szCs w:val="20"/>
        </w:rPr>
      </w:pPr>
      <w:r>
        <w:rPr>
          <w:rFonts w:ascii="Arial" w:eastAsia="Arial" w:hAnsi="Arial" w:cs="Arial"/>
          <w:sz w:val="20"/>
          <w:szCs w:val="20"/>
        </w:rPr>
        <w:t>Modalidad de Adquisición: La negociación se realizará bajo la modalidad de puja por precio por conjunto de bienes, en una (1) SOLA operación como se detalla a continuación:</w:t>
      </w:r>
    </w:p>
    <w:p w14:paraId="40040A35" w14:textId="77777777" w:rsidR="00BE6367" w:rsidRDefault="00BE6367">
      <w:pPr>
        <w:spacing w:before="120"/>
        <w:jc w:val="both"/>
        <w:rPr>
          <w:rFonts w:ascii="Arial" w:eastAsia="Arial" w:hAnsi="Arial" w:cs="Arial"/>
          <w:sz w:val="20"/>
          <w:szCs w:val="20"/>
        </w:rPr>
      </w:pPr>
    </w:p>
    <w:p w14:paraId="76085B8F" w14:textId="77777777" w:rsidR="00BE6367" w:rsidRDefault="00C90F6A">
      <w:pPr>
        <w:jc w:val="both"/>
        <w:rPr>
          <w:rFonts w:ascii="Arial" w:eastAsia="Arial" w:hAnsi="Arial" w:cs="Arial"/>
          <w:sz w:val="20"/>
          <w:szCs w:val="20"/>
        </w:rPr>
      </w:pPr>
      <w:r>
        <w:rPr>
          <w:rFonts w:ascii="Arial" w:eastAsia="Arial" w:hAnsi="Arial" w:cs="Arial"/>
          <w:sz w:val="20"/>
          <w:szCs w:val="20"/>
        </w:rPr>
        <w:t>1. Suministro de equipos ofimáticos, periféricos y audiovisuales</w:t>
      </w:r>
    </w:p>
    <w:tbl>
      <w:tblPr>
        <w:tblStyle w:val="a8"/>
        <w:tblW w:w="8730" w:type="dxa"/>
        <w:jc w:val="center"/>
        <w:tblInd w:w="0" w:type="dxa"/>
        <w:tblLayout w:type="fixed"/>
        <w:tblLook w:val="0400" w:firstRow="0" w:lastRow="0" w:firstColumn="0" w:lastColumn="0" w:noHBand="0" w:noVBand="1"/>
      </w:tblPr>
      <w:tblGrid>
        <w:gridCol w:w="570"/>
        <w:gridCol w:w="4063"/>
        <w:gridCol w:w="1240"/>
        <w:gridCol w:w="2857"/>
      </w:tblGrid>
      <w:tr w:rsidR="00BE6367" w14:paraId="641D6C1D" w14:textId="77777777">
        <w:trPr>
          <w:trHeight w:val="300"/>
          <w:jc w:val="center"/>
        </w:trPr>
        <w:tc>
          <w:tcPr>
            <w:tcW w:w="570" w:type="dxa"/>
            <w:tcBorders>
              <w:top w:val="single" w:sz="8" w:space="0" w:color="000000"/>
              <w:left w:val="single" w:sz="8" w:space="0" w:color="000000"/>
              <w:bottom w:val="single" w:sz="8" w:space="0" w:color="000000"/>
              <w:right w:val="single" w:sz="4" w:space="0" w:color="000000"/>
            </w:tcBorders>
            <w:shd w:val="clear" w:color="auto" w:fill="F2F2F2"/>
            <w:vAlign w:val="center"/>
          </w:tcPr>
          <w:p w14:paraId="39AD61A7" w14:textId="77777777" w:rsidR="00BE6367" w:rsidRDefault="00C90F6A">
            <w:pPr>
              <w:jc w:val="both"/>
              <w:rPr>
                <w:rFonts w:ascii="Arial" w:eastAsia="Arial" w:hAnsi="Arial" w:cs="Arial"/>
                <w:b/>
                <w:bCs/>
                <w:color w:val="000000"/>
                <w:sz w:val="20"/>
                <w:szCs w:val="20"/>
              </w:rPr>
            </w:pPr>
            <w:r>
              <w:rPr>
                <w:rFonts w:ascii="Arial" w:eastAsia="Arial" w:hAnsi="Arial" w:cs="Arial"/>
                <w:b/>
                <w:bCs/>
                <w:color w:val="000000"/>
                <w:sz w:val="20"/>
                <w:szCs w:val="20"/>
              </w:rPr>
              <w:t>ITEM</w:t>
            </w:r>
          </w:p>
        </w:tc>
        <w:tc>
          <w:tcPr>
            <w:tcW w:w="4063" w:type="dxa"/>
            <w:tcBorders>
              <w:top w:val="single" w:sz="8" w:space="0" w:color="000000"/>
              <w:left w:val="nil"/>
              <w:bottom w:val="single" w:sz="8" w:space="0" w:color="000000"/>
              <w:right w:val="single" w:sz="4" w:space="0" w:color="000000"/>
            </w:tcBorders>
            <w:shd w:val="clear" w:color="auto" w:fill="F2F2F2"/>
            <w:vAlign w:val="center"/>
          </w:tcPr>
          <w:p w14:paraId="4B88224D" w14:textId="77777777" w:rsidR="00BE6367" w:rsidRDefault="00C90F6A">
            <w:pPr>
              <w:jc w:val="both"/>
              <w:rPr>
                <w:rFonts w:ascii="Arial" w:eastAsia="Arial" w:hAnsi="Arial" w:cs="Arial"/>
                <w:b/>
                <w:bCs/>
                <w:color w:val="000000"/>
                <w:sz w:val="20"/>
                <w:szCs w:val="20"/>
              </w:rPr>
            </w:pPr>
            <w:r>
              <w:rPr>
                <w:rFonts w:ascii="Arial" w:eastAsia="Arial" w:hAnsi="Arial" w:cs="Arial"/>
                <w:b/>
                <w:bCs/>
                <w:color w:val="000000"/>
                <w:sz w:val="20"/>
                <w:szCs w:val="20"/>
              </w:rPr>
              <w:t>CONCEPTO</w:t>
            </w:r>
          </w:p>
        </w:tc>
        <w:tc>
          <w:tcPr>
            <w:tcW w:w="1240" w:type="dxa"/>
            <w:tcBorders>
              <w:top w:val="single" w:sz="8" w:space="0" w:color="000000"/>
              <w:left w:val="nil"/>
              <w:bottom w:val="single" w:sz="8" w:space="0" w:color="000000"/>
              <w:right w:val="single" w:sz="4" w:space="0" w:color="000000"/>
            </w:tcBorders>
            <w:shd w:val="clear" w:color="auto" w:fill="F2F2F2"/>
            <w:vAlign w:val="center"/>
          </w:tcPr>
          <w:p w14:paraId="4098CD9F" w14:textId="77777777" w:rsidR="00BE6367" w:rsidRDefault="00C90F6A">
            <w:pPr>
              <w:jc w:val="both"/>
              <w:rPr>
                <w:rFonts w:ascii="Arial" w:eastAsia="Arial" w:hAnsi="Arial" w:cs="Arial"/>
                <w:b/>
                <w:bCs/>
                <w:color w:val="000000"/>
                <w:sz w:val="20"/>
                <w:szCs w:val="20"/>
              </w:rPr>
            </w:pPr>
            <w:r>
              <w:rPr>
                <w:rFonts w:ascii="Arial" w:eastAsia="Arial" w:hAnsi="Arial" w:cs="Arial"/>
                <w:b/>
                <w:bCs/>
                <w:color w:val="000000"/>
                <w:sz w:val="20"/>
                <w:szCs w:val="20"/>
              </w:rPr>
              <w:t>CANTIDAD</w:t>
            </w:r>
          </w:p>
        </w:tc>
        <w:tc>
          <w:tcPr>
            <w:tcW w:w="2857" w:type="dxa"/>
            <w:tcBorders>
              <w:top w:val="single" w:sz="8" w:space="0" w:color="000000"/>
              <w:left w:val="nil"/>
              <w:bottom w:val="single" w:sz="8" w:space="0" w:color="000000"/>
              <w:right w:val="single" w:sz="8" w:space="0" w:color="000000"/>
            </w:tcBorders>
            <w:shd w:val="clear" w:color="auto" w:fill="F2F2F2"/>
            <w:vAlign w:val="center"/>
          </w:tcPr>
          <w:p w14:paraId="41152AF2" w14:textId="77777777" w:rsidR="00BE6367" w:rsidRDefault="00C90F6A">
            <w:pPr>
              <w:jc w:val="both"/>
              <w:rPr>
                <w:rFonts w:ascii="Arial" w:eastAsia="Arial" w:hAnsi="Arial" w:cs="Arial"/>
                <w:b/>
                <w:bCs/>
                <w:color w:val="000000"/>
                <w:sz w:val="20"/>
                <w:szCs w:val="20"/>
              </w:rPr>
            </w:pPr>
            <w:r>
              <w:rPr>
                <w:rFonts w:ascii="Arial" w:eastAsia="Arial" w:hAnsi="Arial" w:cs="Arial"/>
                <w:b/>
                <w:bCs/>
                <w:color w:val="000000"/>
                <w:sz w:val="20"/>
                <w:szCs w:val="20"/>
              </w:rPr>
              <w:t>VALOR UNITARIO SIN IVA</w:t>
            </w:r>
          </w:p>
        </w:tc>
      </w:tr>
      <w:tr w:rsidR="00BE6367" w14:paraId="5EF6763E" w14:textId="77777777">
        <w:trPr>
          <w:trHeight w:val="387"/>
          <w:jc w:val="center"/>
        </w:trPr>
        <w:tc>
          <w:tcPr>
            <w:tcW w:w="570" w:type="dxa"/>
            <w:tcBorders>
              <w:top w:val="nil"/>
              <w:left w:val="single" w:sz="8" w:space="0" w:color="000000"/>
              <w:bottom w:val="single" w:sz="4" w:space="0" w:color="000000"/>
              <w:right w:val="single" w:sz="4" w:space="0" w:color="000000"/>
            </w:tcBorders>
            <w:vAlign w:val="center"/>
          </w:tcPr>
          <w:p w14:paraId="57C98B72"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lastRenderedPageBreak/>
              <w:t>1</w:t>
            </w:r>
          </w:p>
        </w:tc>
        <w:tc>
          <w:tcPr>
            <w:tcW w:w="4063" w:type="dxa"/>
            <w:tcBorders>
              <w:top w:val="nil"/>
              <w:left w:val="nil"/>
              <w:bottom w:val="single" w:sz="4" w:space="0" w:color="000000"/>
              <w:right w:val="single" w:sz="4" w:space="0" w:color="000000"/>
            </w:tcBorders>
            <w:vAlign w:val="center"/>
          </w:tcPr>
          <w:p w14:paraId="69F7785E"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COMPUTADOR DE ESCRITORIO – TIPO AIO AVANZADO</w:t>
            </w:r>
          </w:p>
        </w:tc>
        <w:tc>
          <w:tcPr>
            <w:tcW w:w="1240" w:type="dxa"/>
            <w:tcBorders>
              <w:top w:val="nil"/>
              <w:left w:val="nil"/>
              <w:bottom w:val="single" w:sz="4" w:space="0" w:color="000000"/>
              <w:right w:val="single" w:sz="4" w:space="0" w:color="000000"/>
            </w:tcBorders>
            <w:vAlign w:val="center"/>
          </w:tcPr>
          <w:p w14:paraId="55D193D3"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3500</w:t>
            </w:r>
          </w:p>
        </w:tc>
        <w:tc>
          <w:tcPr>
            <w:tcW w:w="2857" w:type="dxa"/>
            <w:tcBorders>
              <w:top w:val="nil"/>
              <w:left w:val="nil"/>
              <w:bottom w:val="single" w:sz="4" w:space="0" w:color="000000"/>
              <w:right w:val="single" w:sz="8" w:space="0" w:color="000000"/>
            </w:tcBorders>
            <w:vAlign w:val="center"/>
          </w:tcPr>
          <w:p w14:paraId="6420F226"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xml:space="preserve"> $                         12.057.614</w:t>
            </w:r>
          </w:p>
        </w:tc>
      </w:tr>
      <w:tr w:rsidR="00BE6367" w14:paraId="64442202" w14:textId="77777777">
        <w:trPr>
          <w:trHeight w:val="576"/>
          <w:jc w:val="center"/>
        </w:trPr>
        <w:tc>
          <w:tcPr>
            <w:tcW w:w="570" w:type="dxa"/>
            <w:tcBorders>
              <w:top w:val="nil"/>
              <w:left w:val="single" w:sz="8" w:space="0" w:color="000000"/>
              <w:bottom w:val="single" w:sz="4" w:space="0" w:color="000000"/>
              <w:right w:val="single" w:sz="4" w:space="0" w:color="000000"/>
            </w:tcBorders>
            <w:vAlign w:val="center"/>
          </w:tcPr>
          <w:p w14:paraId="30230B94"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2</w:t>
            </w:r>
          </w:p>
        </w:tc>
        <w:tc>
          <w:tcPr>
            <w:tcW w:w="4063" w:type="dxa"/>
            <w:tcBorders>
              <w:top w:val="nil"/>
              <w:left w:val="nil"/>
              <w:bottom w:val="single" w:sz="4" w:space="0" w:color="000000"/>
              <w:right w:val="single" w:sz="4" w:space="0" w:color="000000"/>
            </w:tcBorders>
            <w:vAlign w:val="center"/>
          </w:tcPr>
          <w:p w14:paraId="4B800B8D"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COMPUTADOR DE ESCRITORIO - WORKSTATION</w:t>
            </w:r>
          </w:p>
        </w:tc>
        <w:tc>
          <w:tcPr>
            <w:tcW w:w="1240" w:type="dxa"/>
            <w:tcBorders>
              <w:top w:val="nil"/>
              <w:left w:val="nil"/>
              <w:bottom w:val="single" w:sz="4" w:space="0" w:color="000000"/>
              <w:right w:val="single" w:sz="4" w:space="0" w:color="000000"/>
            </w:tcBorders>
            <w:vAlign w:val="center"/>
          </w:tcPr>
          <w:p w14:paraId="0A47F173"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23</w:t>
            </w:r>
          </w:p>
        </w:tc>
        <w:tc>
          <w:tcPr>
            <w:tcW w:w="2857" w:type="dxa"/>
            <w:tcBorders>
              <w:top w:val="nil"/>
              <w:left w:val="nil"/>
              <w:bottom w:val="single" w:sz="4" w:space="0" w:color="000000"/>
              <w:right w:val="single" w:sz="8" w:space="0" w:color="000000"/>
            </w:tcBorders>
            <w:vAlign w:val="center"/>
          </w:tcPr>
          <w:p w14:paraId="0506785C"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xml:space="preserve"> $                         73.609.399 </w:t>
            </w:r>
          </w:p>
        </w:tc>
      </w:tr>
      <w:tr w:rsidR="00BE6367" w14:paraId="47F7F290" w14:textId="77777777">
        <w:trPr>
          <w:trHeight w:val="576"/>
          <w:jc w:val="center"/>
        </w:trPr>
        <w:tc>
          <w:tcPr>
            <w:tcW w:w="570" w:type="dxa"/>
            <w:tcBorders>
              <w:top w:val="nil"/>
              <w:left w:val="single" w:sz="8" w:space="0" w:color="000000"/>
              <w:bottom w:val="single" w:sz="4" w:space="0" w:color="000000"/>
              <w:right w:val="single" w:sz="4" w:space="0" w:color="000000"/>
            </w:tcBorders>
            <w:vAlign w:val="center"/>
          </w:tcPr>
          <w:p w14:paraId="24D99699"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4</w:t>
            </w:r>
          </w:p>
        </w:tc>
        <w:tc>
          <w:tcPr>
            <w:tcW w:w="4063" w:type="dxa"/>
            <w:tcBorders>
              <w:top w:val="nil"/>
              <w:left w:val="nil"/>
              <w:bottom w:val="single" w:sz="4" w:space="0" w:color="000000"/>
              <w:right w:val="single" w:sz="4" w:space="0" w:color="000000"/>
            </w:tcBorders>
            <w:vAlign w:val="center"/>
          </w:tcPr>
          <w:p w14:paraId="4A732653"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COMPUTADOR PORTÁTIL</w:t>
            </w:r>
          </w:p>
        </w:tc>
        <w:tc>
          <w:tcPr>
            <w:tcW w:w="1240" w:type="dxa"/>
            <w:tcBorders>
              <w:top w:val="nil"/>
              <w:left w:val="nil"/>
              <w:bottom w:val="single" w:sz="4" w:space="0" w:color="000000"/>
              <w:right w:val="single" w:sz="4" w:space="0" w:color="000000"/>
            </w:tcBorders>
            <w:vAlign w:val="center"/>
          </w:tcPr>
          <w:p w14:paraId="3E922794"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5</w:t>
            </w:r>
          </w:p>
        </w:tc>
        <w:tc>
          <w:tcPr>
            <w:tcW w:w="2857" w:type="dxa"/>
            <w:tcBorders>
              <w:top w:val="nil"/>
              <w:left w:val="nil"/>
              <w:bottom w:val="single" w:sz="4" w:space="0" w:color="000000"/>
              <w:right w:val="single" w:sz="8" w:space="0" w:color="000000"/>
            </w:tcBorders>
            <w:vAlign w:val="center"/>
          </w:tcPr>
          <w:p w14:paraId="0805220D"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xml:space="preserve"> $                         13.176.197</w:t>
            </w:r>
          </w:p>
        </w:tc>
      </w:tr>
    </w:tbl>
    <w:p w14:paraId="0E214DBD" w14:textId="77777777" w:rsidR="00BE6367" w:rsidRDefault="00BE6367">
      <w:pPr>
        <w:jc w:val="both"/>
        <w:rPr>
          <w:rFonts w:ascii="Arial" w:eastAsia="Arial" w:hAnsi="Arial" w:cs="Arial"/>
          <w:sz w:val="20"/>
          <w:szCs w:val="20"/>
        </w:rPr>
      </w:pPr>
    </w:p>
    <w:p w14:paraId="2EB013D1" w14:textId="77777777" w:rsidR="00BE6367" w:rsidRDefault="00C90F6A">
      <w:pPr>
        <w:jc w:val="both"/>
        <w:rPr>
          <w:rFonts w:ascii="Arial" w:eastAsia="Arial" w:hAnsi="Arial" w:cs="Arial"/>
          <w:i/>
          <w:iCs/>
          <w:sz w:val="20"/>
          <w:szCs w:val="20"/>
        </w:rPr>
      </w:pPr>
      <w:r>
        <w:rPr>
          <w:rFonts w:ascii="Arial" w:eastAsia="Arial" w:hAnsi="Arial" w:cs="Arial"/>
          <w:i/>
          <w:iCs/>
          <w:sz w:val="20"/>
          <w:szCs w:val="20"/>
        </w:rPr>
        <w:t>Se solicita a la Entidad que de respuesta a las siguientes inquietudes:</w:t>
      </w:r>
    </w:p>
    <w:p w14:paraId="33F50FB2" w14:textId="77777777" w:rsidR="00BE6367" w:rsidRDefault="00C90F6A">
      <w:pPr>
        <w:jc w:val="both"/>
        <w:rPr>
          <w:rFonts w:ascii="Arial" w:eastAsia="Arial" w:hAnsi="Arial" w:cs="Arial"/>
          <w:i/>
          <w:iCs/>
          <w:sz w:val="20"/>
          <w:szCs w:val="20"/>
          <w:u w:val="single"/>
        </w:rPr>
      </w:pPr>
      <w:r>
        <w:rPr>
          <w:rFonts w:ascii="Arial" w:eastAsia="Arial" w:hAnsi="Arial" w:cs="Arial"/>
          <w:i/>
          <w:iCs/>
          <w:sz w:val="20"/>
          <w:szCs w:val="20"/>
          <w:u w:val="single"/>
        </w:rPr>
        <w:t>Para los ítems 1, 2, 4:</w:t>
      </w:r>
    </w:p>
    <w:p w14:paraId="5B67E02D" w14:textId="77777777" w:rsidR="00BE6367" w:rsidRDefault="00C90F6A">
      <w:pPr>
        <w:numPr>
          <w:ilvl w:val="0"/>
          <w:numId w:val="69"/>
        </w:numPr>
        <w:pBdr>
          <w:top w:val="nil"/>
          <w:left w:val="nil"/>
          <w:bottom w:val="nil"/>
          <w:right w:val="nil"/>
          <w:between w:val="nil"/>
        </w:pBdr>
        <w:spacing w:after="0"/>
        <w:jc w:val="both"/>
        <w:rPr>
          <w:rFonts w:ascii="Arial" w:eastAsia="Arial" w:hAnsi="Arial" w:cs="Arial"/>
          <w:i/>
          <w:iCs/>
          <w:color w:val="000000"/>
          <w:sz w:val="20"/>
          <w:szCs w:val="20"/>
        </w:rPr>
      </w:pPr>
      <w:bookmarkStart w:id="0" w:name="_heading=h.h48deysh3tge" w:colFirst="0" w:colLast="0"/>
      <w:bookmarkEnd w:id="0"/>
      <w:r>
        <w:rPr>
          <w:rFonts w:ascii="Arial" w:eastAsia="Arial" w:hAnsi="Arial" w:cs="Arial"/>
          <w:b/>
          <w:bCs/>
          <w:i/>
          <w:iCs/>
          <w:color w:val="000000"/>
          <w:sz w:val="20"/>
          <w:szCs w:val="20"/>
        </w:rPr>
        <w:t>Norma// EPEAT Gold</w:t>
      </w:r>
      <w:r>
        <w:rPr>
          <w:rFonts w:ascii="Arial" w:eastAsia="Arial" w:hAnsi="Arial" w:cs="Arial"/>
          <w:i/>
          <w:iCs/>
          <w:color w:val="000000"/>
          <w:sz w:val="20"/>
          <w:szCs w:val="20"/>
        </w:rPr>
        <w:t>. Se solicita a la Entidad incluir las certificaciones EPEAT en su nivel GOLD para este perfil, las cual le va permitir apoyar directamente los compromisos que Colombia asumió en la “COP16” sobre carbono neutralidad y preservación del medio ambiente basados en la “Estrategia Colombia Carbono Neutral (ECCN)” del Ministerio de Ambiente y Desarrollo Sostenible, donde se busca promover el empoderamiento climático e involucramiento del sector público, privado y la sociedad civil en la consecución de las metas de reducción de emisiones de gases de efecto invernadero y la carbono neutralidad en Colombia. Finalmente, la inclusión de EPEAT GOLD esta acorde a la “Ley de Acción Climática” que busca impulsar el desarrollo sostenible de Colombia a través del establecimiento de metas y medidas que conducirán a la carbono neutralidad. </w:t>
      </w:r>
    </w:p>
    <w:p w14:paraId="3B10073F" w14:textId="77777777" w:rsidR="00BE6367" w:rsidRDefault="00BE6367">
      <w:pPr>
        <w:pBdr>
          <w:top w:val="nil"/>
          <w:left w:val="nil"/>
          <w:bottom w:val="nil"/>
          <w:right w:val="nil"/>
          <w:between w:val="nil"/>
        </w:pBdr>
        <w:spacing w:after="0"/>
        <w:ind w:left="720"/>
        <w:jc w:val="both"/>
        <w:rPr>
          <w:rFonts w:ascii="Arial" w:eastAsia="Arial" w:hAnsi="Arial" w:cs="Arial"/>
          <w:b/>
          <w:bCs/>
          <w:i/>
          <w:iCs/>
          <w:color w:val="000000"/>
          <w:sz w:val="20"/>
          <w:szCs w:val="20"/>
        </w:rPr>
      </w:pPr>
    </w:p>
    <w:p w14:paraId="70F2E11D" w14:textId="77777777" w:rsidR="00BE6367" w:rsidRDefault="00C90F6A">
      <w:pPr>
        <w:pBdr>
          <w:top w:val="nil"/>
          <w:left w:val="nil"/>
          <w:bottom w:val="nil"/>
          <w:right w:val="nil"/>
          <w:between w:val="nil"/>
        </w:pBdr>
        <w:spacing w:after="0"/>
        <w:ind w:left="720"/>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30B2FE96" w14:textId="77777777" w:rsidR="00BE6367" w:rsidRDefault="00BE6367">
      <w:pPr>
        <w:pBdr>
          <w:top w:val="nil"/>
          <w:left w:val="nil"/>
          <w:bottom w:val="nil"/>
          <w:right w:val="nil"/>
          <w:between w:val="nil"/>
        </w:pBdr>
        <w:spacing w:after="0"/>
        <w:ind w:left="720"/>
        <w:jc w:val="both"/>
        <w:rPr>
          <w:rFonts w:ascii="Arial" w:eastAsia="Arial" w:hAnsi="Arial" w:cs="Arial"/>
          <w:sz w:val="20"/>
          <w:szCs w:val="20"/>
        </w:rPr>
      </w:pPr>
    </w:p>
    <w:p w14:paraId="5DDD8D71" w14:textId="77777777" w:rsidR="00BE6367" w:rsidRDefault="00C90F6A">
      <w:pPr>
        <w:pBdr>
          <w:top w:val="nil"/>
          <w:left w:val="nil"/>
          <w:bottom w:val="nil"/>
          <w:right w:val="nil"/>
          <w:between w:val="nil"/>
        </w:pBdr>
        <w:spacing w:after="0"/>
        <w:ind w:left="720"/>
        <w:jc w:val="both"/>
        <w:rPr>
          <w:rFonts w:ascii="Arial" w:eastAsia="Arial" w:hAnsi="Arial" w:cs="Arial"/>
          <w:b/>
          <w:bCs/>
          <w:i/>
          <w:iCs/>
          <w:color w:val="000000"/>
          <w:sz w:val="20"/>
          <w:szCs w:val="20"/>
        </w:rPr>
      </w:pPr>
      <w:r>
        <w:rPr>
          <w:rFonts w:ascii="Arial" w:eastAsia="Arial" w:hAnsi="Arial" w:cs="Arial"/>
          <w:sz w:val="20"/>
          <w:szCs w:val="20"/>
        </w:rPr>
        <w:t xml:space="preserve">Se acepta parcialmente la observación, en el entendido de que se modificará el requerimiento de certificación ambiental de </w:t>
      </w:r>
      <w:r>
        <w:rPr>
          <w:rFonts w:ascii="Arial" w:eastAsia="Arial" w:hAnsi="Arial" w:cs="Arial"/>
          <w:b/>
          <w:bCs/>
          <w:sz w:val="20"/>
          <w:szCs w:val="20"/>
        </w:rPr>
        <w:t>EPEAT Silver a EPEAT Gold</w:t>
      </w:r>
      <w:r>
        <w:rPr>
          <w:rFonts w:ascii="Arial" w:eastAsia="Arial" w:hAnsi="Arial" w:cs="Arial"/>
          <w:sz w:val="20"/>
          <w:szCs w:val="20"/>
        </w:rPr>
        <w:t>, únicamente para los equipos correspondientes a los ítems 1 y 2, que representan el mayor volumen de adquisición dentro del proceso. Esta modificación resulta viable en la medida en que fortalece el cumplimiento de los estándares de normatividad climática y contribuye a la sostenibilidad institucional</w:t>
      </w:r>
      <w:r>
        <w:rPr>
          <w:rFonts w:ascii="Arial" w:eastAsia="Arial" w:hAnsi="Arial" w:cs="Arial"/>
          <w:color w:val="000000"/>
          <w:sz w:val="20"/>
          <w:szCs w:val="20"/>
        </w:rPr>
        <w:t>.</w:t>
      </w:r>
    </w:p>
    <w:p w14:paraId="178816CC" w14:textId="77777777" w:rsidR="00BE6367" w:rsidRDefault="00BE6367">
      <w:pPr>
        <w:pBdr>
          <w:top w:val="nil"/>
          <w:left w:val="nil"/>
          <w:bottom w:val="nil"/>
          <w:right w:val="nil"/>
          <w:between w:val="nil"/>
        </w:pBdr>
        <w:spacing w:after="0"/>
        <w:ind w:left="720"/>
        <w:jc w:val="both"/>
        <w:rPr>
          <w:rFonts w:ascii="Arial" w:eastAsia="Arial" w:hAnsi="Arial" w:cs="Arial"/>
          <w:i/>
          <w:iCs/>
          <w:color w:val="000000"/>
          <w:sz w:val="20"/>
          <w:szCs w:val="20"/>
        </w:rPr>
      </w:pPr>
    </w:p>
    <w:p w14:paraId="5ADF556B" w14:textId="77777777" w:rsidR="00BE6367" w:rsidRDefault="00C90F6A">
      <w:pPr>
        <w:numPr>
          <w:ilvl w:val="0"/>
          <w:numId w:val="69"/>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b/>
          <w:bCs/>
          <w:i/>
          <w:iCs/>
          <w:color w:val="000000"/>
          <w:sz w:val="20"/>
          <w:szCs w:val="20"/>
        </w:rPr>
        <w:t>Norma// EPEAT Climate+</w:t>
      </w:r>
      <w:r>
        <w:rPr>
          <w:rFonts w:ascii="Arial" w:eastAsia="Arial" w:hAnsi="Arial" w:cs="Arial"/>
          <w:i/>
          <w:iCs/>
          <w:color w:val="000000"/>
          <w:sz w:val="20"/>
          <w:szCs w:val="20"/>
        </w:rPr>
        <w:t>. Se solicita a la entidad incluir Epeat Climate +. Los productos registrados en EPEAT Climate+ cumplen con criterios rigurosos que aseguran a los compradores que tienen un impacto limitado en el cambio climático. Estos criterios se basan en el impacto del ciclo de vida de los productos electrónicos. La designación EPEAT Climate+ está reservada para productos que pueden verificarse de forma independiente según estos criterios: </w:t>
      </w:r>
    </w:p>
    <w:p w14:paraId="44DCC462" w14:textId="77777777" w:rsidR="00BE6367" w:rsidRDefault="00C90F6A">
      <w:pPr>
        <w:numPr>
          <w:ilvl w:val="1"/>
          <w:numId w:val="69"/>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i/>
          <w:iCs/>
          <w:color w:val="000000"/>
          <w:sz w:val="20"/>
          <w:szCs w:val="20"/>
        </w:rPr>
        <w:t>Ciclo de vida de la emisión de gases de efecto invernadero y evaluación del ciclo de vida </w:t>
      </w:r>
    </w:p>
    <w:p w14:paraId="6466CDA0" w14:textId="77777777" w:rsidR="00BE6367" w:rsidRDefault="00C90F6A">
      <w:pPr>
        <w:numPr>
          <w:ilvl w:val="1"/>
          <w:numId w:val="69"/>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i/>
          <w:iCs/>
          <w:color w:val="000000"/>
          <w:sz w:val="20"/>
          <w:szCs w:val="20"/>
        </w:rPr>
        <w:t>Divulgación y aseguramiento de la huella de carbono del producto </w:t>
      </w:r>
    </w:p>
    <w:p w14:paraId="56EB4DCA" w14:textId="77777777" w:rsidR="00BE6367" w:rsidRDefault="00C90F6A">
      <w:pPr>
        <w:numPr>
          <w:ilvl w:val="1"/>
          <w:numId w:val="69"/>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i/>
          <w:iCs/>
          <w:color w:val="000000"/>
          <w:sz w:val="20"/>
          <w:szCs w:val="20"/>
        </w:rPr>
        <w:t>Inventario corporativo de gases de efecto invernadero </w:t>
      </w:r>
    </w:p>
    <w:p w14:paraId="1C140FFB" w14:textId="77777777" w:rsidR="00BE6367" w:rsidRDefault="00C90F6A">
      <w:pPr>
        <w:numPr>
          <w:ilvl w:val="1"/>
          <w:numId w:val="69"/>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i/>
          <w:iCs/>
          <w:color w:val="000000"/>
          <w:sz w:val="20"/>
          <w:szCs w:val="20"/>
        </w:rPr>
        <w:t>Objetivos de reducción de carbono alineados con la ciencia climática </w:t>
      </w:r>
    </w:p>
    <w:p w14:paraId="48B5E29B" w14:textId="77777777" w:rsidR="00BE6367" w:rsidRDefault="00C90F6A">
      <w:pPr>
        <w:numPr>
          <w:ilvl w:val="1"/>
          <w:numId w:val="69"/>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i/>
          <w:iCs/>
          <w:color w:val="000000"/>
          <w:sz w:val="20"/>
          <w:szCs w:val="20"/>
        </w:rPr>
        <w:t>Eficiencia energética en fabricación </w:t>
      </w:r>
    </w:p>
    <w:p w14:paraId="04C326A9" w14:textId="77777777" w:rsidR="00BE6367" w:rsidRDefault="00C90F6A">
      <w:pPr>
        <w:numPr>
          <w:ilvl w:val="1"/>
          <w:numId w:val="69"/>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i/>
          <w:iCs/>
          <w:color w:val="000000"/>
          <w:sz w:val="20"/>
          <w:szCs w:val="20"/>
        </w:rPr>
        <w:t>Abastecimiento de electricidad renovable </w:t>
      </w:r>
    </w:p>
    <w:p w14:paraId="4DAEC669" w14:textId="77777777" w:rsidR="00BE6367" w:rsidRDefault="00C90F6A">
      <w:pPr>
        <w:numPr>
          <w:ilvl w:val="1"/>
          <w:numId w:val="69"/>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i/>
          <w:iCs/>
          <w:color w:val="000000"/>
          <w:sz w:val="20"/>
          <w:szCs w:val="20"/>
        </w:rPr>
        <w:t>Productos químicos con alto potencial de calentamiento global en la fabricación (gases fluorados de efecto invernadero) F-GHG </w:t>
      </w:r>
    </w:p>
    <w:p w14:paraId="44FE79A5" w14:textId="77777777" w:rsidR="00BE6367" w:rsidRDefault="00C90F6A">
      <w:pPr>
        <w:numPr>
          <w:ilvl w:val="1"/>
          <w:numId w:val="69"/>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i/>
          <w:iCs/>
          <w:color w:val="000000"/>
          <w:sz w:val="20"/>
          <w:szCs w:val="20"/>
        </w:rPr>
        <w:t>Eficiencia energética del producto </w:t>
      </w:r>
    </w:p>
    <w:p w14:paraId="718D7E10" w14:textId="77777777" w:rsidR="00BE6367" w:rsidRDefault="00BE6367">
      <w:pPr>
        <w:pBdr>
          <w:top w:val="nil"/>
          <w:left w:val="nil"/>
          <w:bottom w:val="nil"/>
          <w:right w:val="nil"/>
          <w:between w:val="nil"/>
        </w:pBdr>
        <w:spacing w:after="0"/>
        <w:ind w:left="1080"/>
        <w:jc w:val="both"/>
        <w:rPr>
          <w:rFonts w:ascii="Arial" w:eastAsia="Arial" w:hAnsi="Arial" w:cs="Arial"/>
          <w:i/>
          <w:iCs/>
          <w:color w:val="000000"/>
          <w:sz w:val="20"/>
          <w:szCs w:val="20"/>
        </w:rPr>
      </w:pPr>
    </w:p>
    <w:p w14:paraId="5C2A24D2" w14:textId="77777777" w:rsidR="00BE6367" w:rsidRDefault="00C90F6A">
      <w:pPr>
        <w:pBdr>
          <w:top w:val="nil"/>
          <w:left w:val="nil"/>
          <w:bottom w:val="nil"/>
          <w:right w:val="nil"/>
          <w:between w:val="nil"/>
        </w:pBdr>
        <w:spacing w:after="0"/>
        <w:ind w:left="720"/>
        <w:jc w:val="both"/>
        <w:rPr>
          <w:rFonts w:ascii="Arial" w:eastAsia="Arial" w:hAnsi="Arial" w:cs="Arial"/>
          <w:sz w:val="20"/>
          <w:szCs w:val="20"/>
        </w:rPr>
      </w:pPr>
      <w:r>
        <w:rPr>
          <w:rFonts w:ascii="Arial" w:eastAsia="Arial" w:hAnsi="Arial" w:cs="Arial"/>
          <w:b/>
          <w:bCs/>
          <w:sz w:val="20"/>
          <w:szCs w:val="20"/>
        </w:rPr>
        <w:lastRenderedPageBreak/>
        <w:t>RESPUESTA A OBSERVACIÓN</w:t>
      </w:r>
      <w:r>
        <w:rPr>
          <w:rFonts w:ascii="Arial" w:eastAsia="Arial" w:hAnsi="Arial" w:cs="Arial"/>
          <w:sz w:val="20"/>
          <w:szCs w:val="20"/>
        </w:rPr>
        <w:t>:</w:t>
      </w:r>
    </w:p>
    <w:p w14:paraId="57D3739D" w14:textId="77777777" w:rsidR="00BE6367" w:rsidRDefault="00BE6367">
      <w:pPr>
        <w:pBdr>
          <w:top w:val="nil"/>
          <w:left w:val="nil"/>
          <w:bottom w:val="nil"/>
          <w:right w:val="nil"/>
          <w:between w:val="nil"/>
        </w:pBdr>
        <w:spacing w:after="0"/>
        <w:ind w:left="720"/>
        <w:jc w:val="both"/>
        <w:rPr>
          <w:rFonts w:ascii="Arial" w:eastAsia="Arial" w:hAnsi="Arial" w:cs="Arial"/>
          <w:sz w:val="20"/>
          <w:szCs w:val="20"/>
        </w:rPr>
      </w:pPr>
    </w:p>
    <w:p w14:paraId="66073A61" w14:textId="77777777" w:rsidR="00BE6367" w:rsidRDefault="00C90F6A">
      <w:pPr>
        <w:pBdr>
          <w:top w:val="nil"/>
          <w:left w:val="nil"/>
          <w:bottom w:val="nil"/>
          <w:right w:val="nil"/>
          <w:between w:val="nil"/>
        </w:pBdr>
        <w:spacing w:after="0"/>
        <w:ind w:left="720"/>
        <w:jc w:val="both"/>
        <w:rPr>
          <w:rFonts w:ascii="Arial" w:eastAsia="Arial" w:hAnsi="Arial" w:cs="Arial"/>
          <w:color w:val="000000"/>
          <w:sz w:val="20"/>
          <w:szCs w:val="20"/>
        </w:rPr>
      </w:pPr>
      <w:r>
        <w:rPr>
          <w:rFonts w:ascii="Arial" w:eastAsia="Arial" w:hAnsi="Arial" w:cs="Arial"/>
          <w:sz w:val="20"/>
          <w:szCs w:val="20"/>
        </w:rPr>
        <w:t>No se acepta la observación, toda vez que se precisa que la certificación EPEAT Climate + ya se encuentra solicitada en la ficha técnica del producto, como parte de los requisitos ambientales definidos para el proceso.</w:t>
      </w:r>
    </w:p>
    <w:p w14:paraId="3E578E1B" w14:textId="77777777" w:rsidR="00BE6367" w:rsidRDefault="00BE6367">
      <w:pPr>
        <w:pBdr>
          <w:top w:val="nil"/>
          <w:left w:val="nil"/>
          <w:bottom w:val="nil"/>
          <w:right w:val="nil"/>
          <w:between w:val="nil"/>
        </w:pBdr>
        <w:spacing w:after="0"/>
        <w:ind w:left="1080"/>
        <w:jc w:val="both"/>
        <w:rPr>
          <w:rFonts w:ascii="Arial" w:eastAsia="Arial" w:hAnsi="Arial" w:cs="Arial"/>
          <w:i/>
          <w:iCs/>
          <w:color w:val="000000"/>
          <w:sz w:val="20"/>
          <w:szCs w:val="20"/>
        </w:rPr>
      </w:pPr>
    </w:p>
    <w:p w14:paraId="3FF366BE" w14:textId="77777777" w:rsidR="00BE6367" w:rsidRDefault="00C90F6A">
      <w:pPr>
        <w:numPr>
          <w:ilvl w:val="0"/>
          <w:numId w:val="69"/>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b/>
          <w:bCs/>
          <w:i/>
          <w:iCs/>
          <w:color w:val="000000"/>
          <w:sz w:val="20"/>
          <w:szCs w:val="20"/>
        </w:rPr>
        <w:t>Estándar Militar.</w:t>
      </w:r>
      <w:r>
        <w:rPr>
          <w:rFonts w:ascii="Arial" w:eastAsia="Arial" w:hAnsi="Arial" w:cs="Arial"/>
          <w:i/>
          <w:iCs/>
          <w:color w:val="000000"/>
          <w:sz w:val="20"/>
          <w:szCs w:val="20"/>
        </w:rPr>
        <w:t> Sugerimos a la entidad solicitar pruebas de calidad y durabilidad como son las pruebas MIL-STD 810H las cuales son un conjunto de pruebas de ingeniería que permiten conocer los umbrales máximos de durabilidad de un equipo de cómputo a lo largo de toda su vida útil. La importancia de estas pruebas dentro de la oferta de equipos que responden a las necesidades del sector corporativo se asocia a definir una línea base mínima en términos de resistencia a golpes, potenciales caídos, torsiones, variaciones de temperatura, cambios de humedad en el ambiente, circulación de polvo o partículas que pueden ingresar en el chasis, vibración continua, entre otras. El objetivo de contar con cumplimiento de estas pruebas se traduce en una menor incidencia de casos de garantía, extender la vida útil del equipo de cómputo y aumentar la continuidad de la operación de los usuarios. Por esta razón solicita a la entidad incluir el cumplimiento de pruebas MIL-STD 810H puesto que todos los fabricantes las tenemos en la línea Corporativa de equipos.  </w:t>
      </w:r>
    </w:p>
    <w:p w14:paraId="77B9650E" w14:textId="77777777" w:rsidR="00BE6367" w:rsidRDefault="00BE6367">
      <w:pPr>
        <w:pBdr>
          <w:top w:val="nil"/>
          <w:left w:val="nil"/>
          <w:bottom w:val="nil"/>
          <w:right w:val="nil"/>
          <w:between w:val="nil"/>
        </w:pBdr>
        <w:spacing w:after="0"/>
        <w:ind w:left="720"/>
        <w:jc w:val="both"/>
        <w:rPr>
          <w:rFonts w:ascii="Arial" w:eastAsia="Arial" w:hAnsi="Arial" w:cs="Arial"/>
          <w:i/>
          <w:iCs/>
          <w:sz w:val="20"/>
          <w:szCs w:val="20"/>
        </w:rPr>
      </w:pPr>
    </w:p>
    <w:p w14:paraId="1E66C8B8" w14:textId="77777777" w:rsidR="00BE6367" w:rsidRDefault="00BE6367">
      <w:pPr>
        <w:pBdr>
          <w:top w:val="nil"/>
          <w:left w:val="nil"/>
          <w:bottom w:val="nil"/>
          <w:right w:val="nil"/>
          <w:between w:val="nil"/>
        </w:pBdr>
        <w:spacing w:after="0"/>
        <w:ind w:left="720"/>
        <w:jc w:val="both"/>
        <w:rPr>
          <w:rFonts w:ascii="Arial" w:eastAsia="Arial" w:hAnsi="Arial" w:cs="Arial"/>
          <w:i/>
          <w:iCs/>
          <w:sz w:val="20"/>
          <w:szCs w:val="20"/>
        </w:rPr>
      </w:pPr>
    </w:p>
    <w:p w14:paraId="682EED6B" w14:textId="77777777" w:rsidR="00BE6367" w:rsidRDefault="00C90F6A">
      <w:pPr>
        <w:pBdr>
          <w:top w:val="nil"/>
          <w:left w:val="nil"/>
          <w:bottom w:val="nil"/>
          <w:right w:val="nil"/>
          <w:between w:val="nil"/>
        </w:pBdr>
        <w:spacing w:after="0"/>
        <w:ind w:left="720"/>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6B571303" w14:textId="77777777" w:rsidR="00BE6367" w:rsidRDefault="00BE6367">
      <w:pPr>
        <w:pBdr>
          <w:top w:val="nil"/>
          <w:left w:val="nil"/>
          <w:bottom w:val="nil"/>
          <w:right w:val="nil"/>
          <w:between w:val="nil"/>
        </w:pBdr>
        <w:spacing w:after="0"/>
        <w:ind w:left="720"/>
        <w:jc w:val="both"/>
        <w:rPr>
          <w:rFonts w:ascii="Arial" w:eastAsia="Arial" w:hAnsi="Arial" w:cs="Arial"/>
          <w:sz w:val="20"/>
          <w:szCs w:val="20"/>
        </w:rPr>
      </w:pPr>
    </w:p>
    <w:p w14:paraId="06813E93" w14:textId="77777777" w:rsidR="00BE6367" w:rsidRDefault="00C90F6A">
      <w:pPr>
        <w:pBdr>
          <w:top w:val="nil"/>
          <w:left w:val="nil"/>
          <w:bottom w:val="nil"/>
          <w:right w:val="nil"/>
          <w:between w:val="nil"/>
        </w:pBdr>
        <w:spacing w:after="0"/>
        <w:ind w:left="720"/>
        <w:jc w:val="both"/>
        <w:rPr>
          <w:rFonts w:ascii="Arial" w:eastAsia="Arial" w:hAnsi="Arial" w:cs="Arial"/>
          <w:sz w:val="20"/>
          <w:szCs w:val="20"/>
        </w:rPr>
      </w:pPr>
      <w:r>
        <w:rPr>
          <w:rFonts w:ascii="Arial" w:eastAsia="Arial" w:hAnsi="Arial" w:cs="Arial"/>
          <w:sz w:val="20"/>
          <w:szCs w:val="20"/>
        </w:rPr>
        <w:t>Se acepta la observación, en el entendido de que el requerimiento de cumplimiento de pruebas de estándar militar MIL-STD 810H aplicará únicamente para los equipos correspondientes al ítem 1 e ítem 2, dado que son los únicos que estarán sujetos a condiciones de mayor volatilidad de uso, con posibilidad de ser transferidos y transportados en diferentes entornos.</w:t>
      </w:r>
    </w:p>
    <w:p w14:paraId="274A30D8" w14:textId="77777777" w:rsidR="00BE6367" w:rsidRDefault="00C90F6A">
      <w:pPr>
        <w:pBdr>
          <w:top w:val="nil"/>
          <w:left w:val="nil"/>
          <w:bottom w:val="nil"/>
          <w:right w:val="nil"/>
          <w:between w:val="nil"/>
        </w:pBdr>
        <w:spacing w:after="0"/>
        <w:ind w:left="720"/>
        <w:jc w:val="both"/>
        <w:rPr>
          <w:rFonts w:ascii="Arial" w:eastAsia="Arial" w:hAnsi="Arial" w:cs="Arial"/>
          <w:color w:val="000000"/>
          <w:sz w:val="20"/>
          <w:szCs w:val="20"/>
        </w:rPr>
      </w:pPr>
      <w:r>
        <w:rPr>
          <w:rFonts w:ascii="Arial" w:eastAsia="Arial" w:hAnsi="Arial" w:cs="Arial"/>
          <w:sz w:val="20"/>
          <w:szCs w:val="20"/>
        </w:rPr>
        <w:t>Para los demás perfiles de equipos de cómputo, no resulta necesario exigir este estándar, toda vez que no están destinados a operar en ambientes de alta exigencia ambiental ni bajo condiciones de manejo pesado</w:t>
      </w:r>
      <w:r>
        <w:rPr>
          <w:rFonts w:ascii="Arial" w:eastAsia="Arial" w:hAnsi="Arial" w:cs="Arial"/>
          <w:color w:val="000000"/>
          <w:sz w:val="20"/>
          <w:szCs w:val="20"/>
        </w:rPr>
        <w:t xml:space="preserve">. </w:t>
      </w:r>
    </w:p>
    <w:p w14:paraId="6440A515" w14:textId="77777777" w:rsidR="00BE6367" w:rsidRDefault="00BE6367">
      <w:pPr>
        <w:pBdr>
          <w:top w:val="nil"/>
          <w:left w:val="nil"/>
          <w:bottom w:val="nil"/>
          <w:right w:val="nil"/>
          <w:between w:val="nil"/>
        </w:pBdr>
        <w:ind w:left="720"/>
        <w:jc w:val="both"/>
        <w:rPr>
          <w:rFonts w:ascii="Arial" w:eastAsia="Arial" w:hAnsi="Arial" w:cs="Arial"/>
          <w:i/>
          <w:iCs/>
          <w:color w:val="000000"/>
          <w:sz w:val="20"/>
          <w:szCs w:val="20"/>
        </w:rPr>
      </w:pPr>
    </w:p>
    <w:p w14:paraId="1F0A15EF" w14:textId="77777777" w:rsidR="00BE6367" w:rsidRDefault="00C90F6A">
      <w:pPr>
        <w:spacing w:before="120"/>
        <w:jc w:val="both"/>
        <w:rPr>
          <w:rFonts w:ascii="Arial" w:eastAsia="Arial" w:hAnsi="Arial" w:cs="Arial"/>
          <w:b/>
          <w:bCs/>
          <w:sz w:val="20"/>
          <w:szCs w:val="20"/>
        </w:rPr>
      </w:pPr>
      <w:r>
        <w:rPr>
          <w:rFonts w:ascii="Arial" w:eastAsia="Arial" w:hAnsi="Arial" w:cs="Arial"/>
          <w:b/>
          <w:bCs/>
          <w:sz w:val="20"/>
          <w:szCs w:val="20"/>
        </w:rPr>
        <w:t xml:space="preserve">Documento: </w:t>
      </w:r>
      <w:r>
        <w:rPr>
          <w:rFonts w:ascii="Arial" w:eastAsia="Arial" w:hAnsi="Arial" w:cs="Arial"/>
          <w:sz w:val="20"/>
          <w:szCs w:val="20"/>
        </w:rPr>
        <w:t>FTP ficha tecnica de producto - equipos de computo - periferico- audiovisuales – 190626.PDF</w:t>
      </w:r>
    </w:p>
    <w:p w14:paraId="60F83C9A" w14:textId="77777777" w:rsidR="00BE6367" w:rsidRDefault="00BE6367">
      <w:pPr>
        <w:jc w:val="both"/>
        <w:rPr>
          <w:rFonts w:ascii="Arial" w:eastAsia="Arial" w:hAnsi="Arial" w:cs="Arial"/>
          <w:i/>
          <w:iCs/>
          <w:sz w:val="20"/>
          <w:szCs w:val="20"/>
        </w:rPr>
      </w:pPr>
    </w:p>
    <w:p w14:paraId="2E39C46D" w14:textId="77777777" w:rsidR="00BE6367" w:rsidRDefault="00C90F6A">
      <w:pPr>
        <w:spacing w:before="120"/>
        <w:jc w:val="both"/>
        <w:rPr>
          <w:rFonts w:ascii="Arial" w:eastAsia="Arial" w:hAnsi="Arial" w:cs="Arial"/>
          <w:b/>
          <w:bCs/>
          <w:sz w:val="20"/>
          <w:szCs w:val="20"/>
        </w:rPr>
      </w:pPr>
      <w:r>
        <w:rPr>
          <w:rFonts w:ascii="Arial" w:eastAsia="Arial" w:hAnsi="Arial" w:cs="Arial"/>
          <w:b/>
          <w:bCs/>
          <w:sz w:val="20"/>
          <w:szCs w:val="20"/>
        </w:rPr>
        <w:t>OBSERVACIÓN 3.</w:t>
      </w:r>
    </w:p>
    <w:p w14:paraId="79315353" w14:textId="77777777" w:rsidR="00BE6367" w:rsidRDefault="00C90F6A">
      <w:pPr>
        <w:spacing w:before="120"/>
        <w:jc w:val="both"/>
        <w:rPr>
          <w:rFonts w:ascii="Arial" w:eastAsia="Arial" w:hAnsi="Arial" w:cs="Arial"/>
          <w:i/>
          <w:iCs/>
          <w:sz w:val="20"/>
          <w:szCs w:val="20"/>
          <w:u w:val="single"/>
        </w:rPr>
      </w:pPr>
      <w:r>
        <w:rPr>
          <w:rFonts w:ascii="Arial" w:eastAsia="Arial" w:hAnsi="Arial" w:cs="Arial"/>
          <w:i/>
          <w:iCs/>
          <w:sz w:val="20"/>
          <w:szCs w:val="20"/>
          <w:u w:val="single"/>
        </w:rPr>
        <w:t>COMPUTADOR DE ESCRITORIO – TIPO AIO AVANZADO / COMPUTADOR DE ESCRITORIO TIPO AIO</w:t>
      </w:r>
    </w:p>
    <w:p w14:paraId="74568D29" w14:textId="77777777" w:rsidR="00BE6367" w:rsidRDefault="00BE6367">
      <w:pPr>
        <w:spacing w:before="120"/>
        <w:jc w:val="both"/>
        <w:rPr>
          <w:rFonts w:ascii="Arial" w:eastAsia="Arial" w:hAnsi="Arial" w:cs="Arial"/>
          <w:i/>
          <w:iCs/>
          <w:sz w:val="20"/>
          <w:szCs w:val="20"/>
          <w:u w:val="single"/>
        </w:rPr>
      </w:pPr>
    </w:p>
    <w:p w14:paraId="37726165" w14:textId="77777777" w:rsidR="00BE6367" w:rsidRDefault="00C90F6A">
      <w:pPr>
        <w:numPr>
          <w:ilvl w:val="0"/>
          <w:numId w:val="70"/>
        </w:numPr>
        <w:pBdr>
          <w:top w:val="nil"/>
          <w:left w:val="nil"/>
          <w:bottom w:val="nil"/>
          <w:right w:val="nil"/>
          <w:between w:val="nil"/>
        </w:pBdr>
        <w:jc w:val="both"/>
        <w:rPr>
          <w:rFonts w:ascii="Arial" w:eastAsia="Arial" w:hAnsi="Arial" w:cs="Arial"/>
          <w:i/>
          <w:iCs/>
          <w:color w:val="000000"/>
          <w:sz w:val="20"/>
          <w:szCs w:val="20"/>
        </w:rPr>
      </w:pPr>
      <w:r>
        <w:rPr>
          <w:rFonts w:ascii="Arial" w:eastAsia="Arial" w:hAnsi="Arial" w:cs="Arial"/>
          <w:b/>
          <w:bCs/>
          <w:i/>
          <w:iCs/>
          <w:color w:val="000000"/>
          <w:sz w:val="20"/>
          <w:szCs w:val="20"/>
          <w:u w:val="single"/>
        </w:rPr>
        <w:t>Procesador.</w:t>
      </w:r>
      <w:r>
        <w:rPr>
          <w:rFonts w:ascii="Arial" w:eastAsia="Arial" w:hAnsi="Arial" w:cs="Arial"/>
          <w:i/>
          <w:iCs/>
          <w:color w:val="000000"/>
          <w:sz w:val="20"/>
          <w:szCs w:val="20"/>
        </w:rPr>
        <w:t xml:space="preserve"> Se solicita a la entidad permita la oferta de plataformas con procesadores que cuenta con mínimo las siguientes características velocidad turbo de performance mínimo 5.0 Ghz de frecuencia, con mínimo 14 cores físicos de cómputo (núcleos), 14 subprocesos y arquitectura de 64 bits. La cache del procesador en nivel 2 debe ser de mínimo 24MB. Esta son características que permiten mantener el desempeño del uso y cubrir las necesidades que se tienen actualmente en la entidad. El aceptar estos requerimientos como mínimos cumplibles no van en detrimento de la entidad y no significa una desmejora tecnológica. </w:t>
      </w:r>
    </w:p>
    <w:p w14:paraId="3A0F3124" w14:textId="77777777" w:rsidR="00BE6367" w:rsidRDefault="00C90F6A">
      <w:pPr>
        <w:spacing w:before="120"/>
        <w:ind w:firstLine="708"/>
        <w:jc w:val="both"/>
        <w:rPr>
          <w:rFonts w:ascii="Arial" w:eastAsia="Arial" w:hAnsi="Arial" w:cs="Arial"/>
          <w:i/>
          <w:iCs/>
          <w:sz w:val="20"/>
          <w:szCs w:val="20"/>
        </w:rPr>
      </w:pPr>
      <w:r>
        <w:rPr>
          <w:rFonts w:ascii="Arial" w:eastAsia="Arial" w:hAnsi="Arial" w:cs="Arial"/>
          <w:i/>
          <w:iCs/>
          <w:sz w:val="20"/>
          <w:szCs w:val="20"/>
        </w:rPr>
        <w:lastRenderedPageBreak/>
        <w:t>Administración</w:t>
      </w:r>
    </w:p>
    <w:p w14:paraId="73DCF68F" w14:textId="77777777" w:rsidR="00BE6367" w:rsidRDefault="00C90F6A">
      <w:pPr>
        <w:numPr>
          <w:ilvl w:val="1"/>
          <w:numId w:val="2"/>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i/>
          <w:iCs/>
          <w:color w:val="000000"/>
          <w:sz w:val="20"/>
          <w:szCs w:val="20"/>
        </w:rPr>
        <w:t>Respecto al requerimiento de “integración con consolas de gestión, soluciones EDR/XDR y herramientas de orquestación existentes”, solicitamos a la entidad aclarar si brindará el acompañamiento técnico, acceso a la información y soporte necesarios para llevar a cabo dicha integración. Lo anterior, considerando que se trata de plataformas previamente implementadas, cuyas arquitecturas, versiones, API´s, conectores, políticas de seguridad y mecanismos de interoperabilidad pueden variar significativamente entre fabricantes y entornos tecnológicos.</w:t>
      </w:r>
    </w:p>
    <w:p w14:paraId="7EEBCCE6" w14:textId="77777777" w:rsidR="00BE6367" w:rsidRDefault="00C90F6A">
      <w:pPr>
        <w:numPr>
          <w:ilvl w:val="1"/>
          <w:numId w:val="2"/>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i/>
          <w:iCs/>
          <w:color w:val="000000"/>
          <w:sz w:val="20"/>
          <w:szCs w:val="20"/>
        </w:rPr>
        <w:t>Es importante señalar que este tipo de integraciones normalmente no se realiza de forma automática ni estandarizada, sino que requiere un proceso previo de levantamiento de información, análisis de compatibilidad, definición de requerimientos funcionales y técnicos, validación de interfaces de comunicación y pruebas de interoperabilidad. Solo a partir de este ejercicio es posible diseñar e implementar una integración que garantice un funcionamiento adecuado y alineado con las necesidades operativas de la entidad.</w:t>
      </w:r>
    </w:p>
    <w:p w14:paraId="3720849F" w14:textId="77777777" w:rsidR="00BE6367" w:rsidRDefault="00C90F6A">
      <w:pPr>
        <w:numPr>
          <w:ilvl w:val="1"/>
          <w:numId w:val="2"/>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i/>
          <w:iCs/>
          <w:color w:val="000000"/>
          <w:sz w:val="20"/>
          <w:szCs w:val="20"/>
        </w:rPr>
        <w:t>En consecuencia, se solicita precisar el alcance esperado de la integración y confirmar que la entidad proporcionará el acceso, la documentación técnica, las credenciales, los ambientes de prueba y el acompañamiento requerido para el desarrollo y validación de dichas integraciones, con el fin de asegurar una implementación exitosa y evitar riesgos asociados a restricciones o limitaciones propias de las plataformas existentes.</w:t>
      </w:r>
    </w:p>
    <w:p w14:paraId="758CA558" w14:textId="77777777" w:rsidR="00BE6367" w:rsidRDefault="00BE6367">
      <w:pPr>
        <w:pBdr>
          <w:top w:val="nil"/>
          <w:left w:val="nil"/>
          <w:bottom w:val="nil"/>
          <w:right w:val="nil"/>
          <w:between w:val="nil"/>
        </w:pBdr>
        <w:spacing w:after="0"/>
        <w:ind w:left="720"/>
        <w:jc w:val="both"/>
        <w:rPr>
          <w:rFonts w:ascii="Arial" w:eastAsia="Arial" w:hAnsi="Arial" w:cs="Arial"/>
          <w:i/>
          <w:iCs/>
          <w:sz w:val="20"/>
          <w:szCs w:val="20"/>
        </w:rPr>
      </w:pPr>
    </w:p>
    <w:p w14:paraId="2FB01C27" w14:textId="77777777" w:rsidR="00BE6367" w:rsidRDefault="00C90F6A">
      <w:pPr>
        <w:pBdr>
          <w:top w:val="nil"/>
          <w:left w:val="nil"/>
          <w:bottom w:val="nil"/>
          <w:right w:val="nil"/>
          <w:between w:val="nil"/>
        </w:pBdr>
        <w:spacing w:after="0"/>
        <w:ind w:left="1080"/>
        <w:jc w:val="both"/>
        <w:rPr>
          <w:rFonts w:ascii="Arial" w:eastAsia="Arial" w:hAnsi="Arial" w:cs="Arial"/>
          <w:color w:val="000000"/>
          <w:sz w:val="20"/>
          <w:szCs w:val="20"/>
        </w:rPr>
      </w:pPr>
      <w:r>
        <w:rPr>
          <w:rFonts w:ascii="Arial" w:eastAsia="Arial" w:hAnsi="Arial" w:cs="Arial"/>
          <w:b/>
          <w:bCs/>
          <w:sz w:val="20"/>
          <w:szCs w:val="20"/>
        </w:rPr>
        <w:t>RESPUESTA A OBSERVACIÓN</w:t>
      </w:r>
      <w:r>
        <w:rPr>
          <w:rFonts w:ascii="Arial" w:eastAsia="Arial" w:hAnsi="Arial" w:cs="Arial"/>
          <w:sz w:val="20"/>
          <w:szCs w:val="20"/>
        </w:rPr>
        <w:t>:</w:t>
      </w:r>
      <w:r>
        <w:rPr>
          <w:rFonts w:ascii="Arial" w:eastAsia="Arial" w:hAnsi="Arial" w:cs="Arial"/>
          <w:color w:val="000000"/>
          <w:sz w:val="20"/>
          <w:szCs w:val="20"/>
        </w:rPr>
        <w:t xml:space="preserve"> </w:t>
      </w:r>
    </w:p>
    <w:p w14:paraId="1234CF53" w14:textId="77777777" w:rsidR="00BE6367" w:rsidRDefault="00BE6367">
      <w:pPr>
        <w:pBdr>
          <w:top w:val="nil"/>
          <w:left w:val="nil"/>
          <w:bottom w:val="nil"/>
          <w:right w:val="nil"/>
          <w:between w:val="nil"/>
        </w:pBdr>
        <w:spacing w:after="0"/>
        <w:ind w:left="1080"/>
        <w:jc w:val="both"/>
        <w:rPr>
          <w:rFonts w:ascii="Arial" w:eastAsia="Arial" w:hAnsi="Arial" w:cs="Arial"/>
          <w:sz w:val="20"/>
          <w:szCs w:val="20"/>
        </w:rPr>
      </w:pPr>
    </w:p>
    <w:p w14:paraId="0F025DC0" w14:textId="77777777" w:rsidR="00BE6367" w:rsidRDefault="00C90F6A">
      <w:pPr>
        <w:pBdr>
          <w:top w:val="nil"/>
          <w:left w:val="nil"/>
          <w:bottom w:val="nil"/>
          <w:right w:val="nil"/>
          <w:between w:val="nil"/>
        </w:pBdr>
        <w:spacing w:after="0"/>
        <w:ind w:left="1080"/>
        <w:jc w:val="both"/>
        <w:rPr>
          <w:rFonts w:ascii="Arial" w:eastAsia="Arial" w:hAnsi="Arial" w:cs="Arial"/>
          <w:sz w:val="20"/>
          <w:szCs w:val="20"/>
        </w:rPr>
      </w:pPr>
      <w:r>
        <w:rPr>
          <w:rFonts w:ascii="Arial" w:eastAsia="Arial" w:hAnsi="Arial" w:cs="Arial"/>
          <w:sz w:val="20"/>
          <w:szCs w:val="20"/>
        </w:rPr>
        <w:t>No se acoge la observación. Las características solicitadas corresponden a los parámetros mínimos definidos en la ficha técnica, necesarios para garantizar el nivel de desempeño requerido por la Entidad en el desarrollo de sus labores. Se precisa que podrán admitirse equipos con especificaciones superiores, siempre que cumplan con dichos mínimos, asegurando así funcionalidad, confiabilidad y vigencia tecnológica.</w:t>
      </w:r>
    </w:p>
    <w:p w14:paraId="68D343DF" w14:textId="77777777" w:rsidR="00BE6367" w:rsidRDefault="00BE6367">
      <w:pPr>
        <w:pBdr>
          <w:top w:val="nil"/>
          <w:left w:val="nil"/>
          <w:bottom w:val="nil"/>
          <w:right w:val="nil"/>
          <w:between w:val="nil"/>
        </w:pBdr>
        <w:spacing w:after="0"/>
        <w:ind w:left="1080"/>
        <w:jc w:val="both"/>
        <w:rPr>
          <w:rFonts w:ascii="Arial" w:eastAsia="Arial" w:hAnsi="Arial" w:cs="Arial"/>
          <w:sz w:val="20"/>
          <w:szCs w:val="20"/>
        </w:rPr>
      </w:pPr>
    </w:p>
    <w:p w14:paraId="0BDFB9E7" w14:textId="77777777" w:rsidR="00BE6367" w:rsidRDefault="00C90F6A">
      <w:pPr>
        <w:pBdr>
          <w:top w:val="nil"/>
          <w:left w:val="nil"/>
          <w:bottom w:val="nil"/>
          <w:right w:val="nil"/>
          <w:between w:val="nil"/>
        </w:pBdr>
        <w:ind w:left="1080"/>
        <w:jc w:val="both"/>
        <w:rPr>
          <w:rFonts w:ascii="Arial" w:eastAsia="Arial" w:hAnsi="Arial" w:cs="Arial"/>
          <w:color w:val="000000"/>
          <w:sz w:val="20"/>
          <w:szCs w:val="20"/>
        </w:rPr>
      </w:pPr>
      <w:r>
        <w:rPr>
          <w:rFonts w:ascii="Arial" w:eastAsia="Arial" w:hAnsi="Arial" w:cs="Arial"/>
          <w:sz w:val="20"/>
          <w:szCs w:val="20"/>
        </w:rPr>
        <w:t>Se aclara que, respecto al requerimiento de integración con consolas de gestión, soluciones EDR/XDR y herramientas de orquestación existentes, la Entidad dispondrá de la supervisión y acompañamiento técnico necesarios para el adecuado desarrollo de la integración. Dicho proceso se realizará con acceso a la información pertinente y bajo la coordinación de la supervisión designada, garantizando que la validación se lleve a cabo conforme a las arquitecturas y mecanismos previamente implementados.</w:t>
      </w:r>
    </w:p>
    <w:p w14:paraId="20EB7802" w14:textId="77777777" w:rsidR="00BE6367" w:rsidRDefault="00BE6367">
      <w:pPr>
        <w:spacing w:before="120"/>
        <w:jc w:val="both"/>
        <w:rPr>
          <w:rFonts w:ascii="Arial" w:eastAsia="Arial" w:hAnsi="Arial" w:cs="Arial"/>
          <w:b/>
          <w:bCs/>
          <w:sz w:val="20"/>
          <w:szCs w:val="20"/>
        </w:rPr>
      </w:pPr>
    </w:p>
    <w:p w14:paraId="0467BB33" w14:textId="77777777" w:rsidR="00BE6367" w:rsidRDefault="00C90F6A">
      <w:pPr>
        <w:numPr>
          <w:ilvl w:val="0"/>
          <w:numId w:val="3"/>
        </w:numPr>
        <w:pBdr>
          <w:top w:val="nil"/>
          <w:left w:val="nil"/>
          <w:bottom w:val="nil"/>
          <w:right w:val="nil"/>
          <w:between w:val="nil"/>
        </w:pBdr>
        <w:spacing w:after="0"/>
        <w:jc w:val="both"/>
        <w:rPr>
          <w:rFonts w:ascii="Arial" w:eastAsia="Arial" w:hAnsi="Arial" w:cs="Arial"/>
          <w:b/>
          <w:bCs/>
          <w:i/>
          <w:iCs/>
          <w:color w:val="000000"/>
          <w:sz w:val="20"/>
          <w:szCs w:val="20"/>
        </w:rPr>
      </w:pPr>
      <w:bookmarkStart w:id="1" w:name="_heading=h.nh57yhsz2w1x" w:colFirst="0" w:colLast="0"/>
      <w:bookmarkEnd w:id="1"/>
      <w:r>
        <w:rPr>
          <w:rFonts w:ascii="Arial" w:eastAsia="Arial" w:hAnsi="Arial" w:cs="Arial"/>
          <w:b/>
          <w:bCs/>
          <w:i/>
          <w:iCs/>
          <w:color w:val="000000"/>
          <w:sz w:val="20"/>
          <w:szCs w:val="20"/>
          <w:u w:val="single"/>
        </w:rPr>
        <w:t xml:space="preserve">Pivot. </w:t>
      </w:r>
      <w:r>
        <w:rPr>
          <w:rFonts w:ascii="Arial" w:eastAsia="Arial" w:hAnsi="Arial" w:cs="Arial"/>
          <w:i/>
          <w:iCs/>
          <w:color w:val="000000"/>
          <w:sz w:val="20"/>
          <w:szCs w:val="20"/>
        </w:rPr>
        <w:t>Se solicita a la entidad eliminar la especificación de PIVOT, esta es una característica que solo lo cumple DELL en la máquina que aplica para este rango de equipos como los son los equipos AIO, dado que no es común su uso y solamente está limitando la participación de otros fabricantes este proceso, adicional se suman las siguientes razones por la cuales el movimiento pivot podría causar inconvenientes en los equipos: </w:t>
      </w:r>
    </w:p>
    <w:p w14:paraId="1A85382B" w14:textId="77777777" w:rsidR="00BE6367" w:rsidRDefault="00BE6367">
      <w:pPr>
        <w:numPr>
          <w:ilvl w:val="1"/>
          <w:numId w:val="2"/>
        </w:numPr>
        <w:pBdr>
          <w:top w:val="nil"/>
          <w:left w:val="nil"/>
          <w:bottom w:val="nil"/>
          <w:right w:val="nil"/>
          <w:between w:val="nil"/>
        </w:pBdr>
        <w:spacing w:after="0"/>
        <w:jc w:val="both"/>
        <w:rPr>
          <w:rFonts w:ascii="Arial" w:eastAsia="Arial" w:hAnsi="Arial" w:cs="Arial"/>
          <w:i/>
          <w:iCs/>
          <w:color w:val="000000"/>
          <w:sz w:val="20"/>
          <w:szCs w:val="20"/>
        </w:rPr>
      </w:pPr>
      <w:hyperlink r:id="rId22">
        <w:r>
          <w:rPr>
            <w:rFonts w:ascii="Arial" w:eastAsia="Arial" w:hAnsi="Arial" w:cs="Arial"/>
            <w:i/>
            <w:iCs/>
            <w:color w:val="000000"/>
            <w:sz w:val="20"/>
            <w:szCs w:val="20"/>
          </w:rPr>
          <w:t>Estabilidad: Los equipos pueden volverse menos estables cuando están en posición vertical, especialmente si la base no es lo suficientemente robusta</w:t>
        </w:r>
      </w:hyperlink>
      <w:r w:rsidR="00C90F6A">
        <w:rPr>
          <w:rFonts w:ascii="Arial" w:eastAsia="Arial" w:hAnsi="Arial" w:cs="Arial"/>
          <w:i/>
          <w:iCs/>
          <w:color w:val="000000"/>
          <w:sz w:val="20"/>
          <w:szCs w:val="20"/>
        </w:rPr>
        <w:t xml:space="preserve">, </w:t>
      </w:r>
      <w:r w:rsidR="00C90F6A">
        <w:rPr>
          <w:rFonts w:ascii="Arial" w:eastAsia="Arial" w:hAnsi="Arial" w:cs="Arial"/>
          <w:i/>
          <w:iCs/>
          <w:color w:val="000000"/>
          <w:sz w:val="20"/>
          <w:szCs w:val="20"/>
        </w:rPr>
        <w:lastRenderedPageBreak/>
        <w:t>dado que el peso y la altura puede hacer que el equipo se incline hacia adelante provocando caídas. </w:t>
      </w:r>
    </w:p>
    <w:p w14:paraId="03C89CA5" w14:textId="77777777" w:rsidR="00BE6367" w:rsidRDefault="00BE6367">
      <w:pPr>
        <w:numPr>
          <w:ilvl w:val="1"/>
          <w:numId w:val="2"/>
        </w:numPr>
        <w:pBdr>
          <w:top w:val="nil"/>
          <w:left w:val="nil"/>
          <w:bottom w:val="nil"/>
          <w:right w:val="nil"/>
          <w:between w:val="nil"/>
        </w:pBdr>
        <w:spacing w:after="0"/>
        <w:jc w:val="both"/>
        <w:rPr>
          <w:rFonts w:ascii="Arial" w:eastAsia="Arial" w:hAnsi="Arial" w:cs="Arial"/>
          <w:i/>
          <w:iCs/>
          <w:color w:val="000000"/>
          <w:sz w:val="20"/>
          <w:szCs w:val="20"/>
        </w:rPr>
      </w:pPr>
      <w:hyperlink r:id="rId23">
        <w:r>
          <w:rPr>
            <w:rFonts w:ascii="Arial" w:eastAsia="Arial" w:hAnsi="Arial" w:cs="Arial"/>
            <w:i/>
            <w:iCs/>
            <w:color w:val="000000"/>
            <w:sz w:val="20"/>
            <w:szCs w:val="20"/>
          </w:rPr>
          <w:t>Ángulos de visión: Dependiendo del tipo de panel de la pantalla (por ejemplo, TN, VA, IPS), los ángulos de visión pueden no ser óptimos en la orientación vertical, lo que puede afectar la calidad de la imagen</w:t>
        </w:r>
      </w:hyperlink>
      <w:r w:rsidR="00C90F6A">
        <w:rPr>
          <w:rFonts w:ascii="Arial" w:eastAsia="Arial" w:hAnsi="Arial" w:cs="Arial"/>
          <w:i/>
          <w:iCs/>
          <w:color w:val="000000"/>
          <w:sz w:val="20"/>
          <w:szCs w:val="20"/>
        </w:rPr>
        <w:t>. </w:t>
      </w:r>
    </w:p>
    <w:p w14:paraId="422E234F" w14:textId="77777777" w:rsidR="00BE6367" w:rsidRDefault="00BE6367">
      <w:pPr>
        <w:numPr>
          <w:ilvl w:val="1"/>
          <w:numId w:val="2"/>
        </w:numPr>
        <w:pBdr>
          <w:top w:val="nil"/>
          <w:left w:val="nil"/>
          <w:bottom w:val="nil"/>
          <w:right w:val="nil"/>
          <w:between w:val="nil"/>
        </w:pBdr>
        <w:spacing w:after="0"/>
        <w:jc w:val="both"/>
        <w:rPr>
          <w:rFonts w:ascii="Arial" w:eastAsia="Arial" w:hAnsi="Arial" w:cs="Arial"/>
          <w:i/>
          <w:iCs/>
          <w:color w:val="000000"/>
          <w:sz w:val="20"/>
          <w:szCs w:val="20"/>
        </w:rPr>
      </w:pPr>
      <w:hyperlink r:id="rId24">
        <w:r>
          <w:rPr>
            <w:rFonts w:ascii="Arial" w:eastAsia="Arial" w:hAnsi="Arial" w:cs="Arial"/>
            <w:i/>
            <w:iCs/>
            <w:color w:val="000000"/>
            <w:sz w:val="20"/>
            <w:szCs w:val="20"/>
          </w:rPr>
          <w:t>Uso de espacio: En algunos escritorios, la orientación vertical puede no ser práctica debido a limitaciones de espacio o la disposición del entorno de trabajo</w:t>
        </w:r>
      </w:hyperlink>
      <w:r w:rsidR="00C90F6A">
        <w:rPr>
          <w:rFonts w:ascii="Arial" w:eastAsia="Arial" w:hAnsi="Arial" w:cs="Arial"/>
          <w:i/>
          <w:iCs/>
          <w:color w:val="000000"/>
          <w:sz w:val="20"/>
          <w:szCs w:val="20"/>
        </w:rPr>
        <w:t>, tener en cuenta que este movimiento se puede ver limitado por los propios cables del equipo, es decir conexiones a teclado, mouse, algún periférico, cable de poder, por lo que el riesgo de daño a estos accesorios puede ser mayor. </w:t>
      </w:r>
    </w:p>
    <w:p w14:paraId="7F0D5E78" w14:textId="77777777" w:rsidR="00BE6367" w:rsidRDefault="00BE6367">
      <w:pPr>
        <w:numPr>
          <w:ilvl w:val="1"/>
          <w:numId w:val="2"/>
        </w:numPr>
        <w:pBdr>
          <w:top w:val="nil"/>
          <w:left w:val="nil"/>
          <w:bottom w:val="nil"/>
          <w:right w:val="nil"/>
          <w:between w:val="nil"/>
        </w:pBdr>
        <w:spacing w:after="0"/>
        <w:jc w:val="both"/>
        <w:rPr>
          <w:rFonts w:ascii="Arial" w:eastAsia="Arial" w:hAnsi="Arial" w:cs="Arial"/>
          <w:i/>
          <w:iCs/>
          <w:color w:val="000000"/>
          <w:sz w:val="20"/>
          <w:szCs w:val="20"/>
        </w:rPr>
      </w:pPr>
      <w:hyperlink r:id="rId25">
        <w:r>
          <w:rPr>
            <w:rFonts w:ascii="Arial" w:eastAsia="Arial" w:hAnsi="Arial" w:cs="Arial"/>
            <w:i/>
            <w:iCs/>
            <w:color w:val="000000"/>
            <w:sz w:val="20"/>
            <w:szCs w:val="20"/>
          </w:rPr>
          <w:t>Configuración: Puede ser necesario ajustar la configuración del sistema operativo y los controladores de la tarjeta gráfica para que la pantalla se vea correctamente en la orientación vertical</w:t>
        </w:r>
      </w:hyperlink>
      <w:r w:rsidR="00C90F6A">
        <w:rPr>
          <w:rFonts w:ascii="Arial" w:eastAsia="Arial" w:hAnsi="Arial" w:cs="Arial"/>
          <w:i/>
          <w:iCs/>
          <w:color w:val="000000"/>
          <w:sz w:val="20"/>
          <w:szCs w:val="20"/>
        </w:rPr>
        <w:t>, lo cual si no lo realiza una persona con conocimientos técnicos puede generar malestar entre los usuarios, ya que al no contar con un sistema como giroscopio (usado en los celulares para girar automáticamente la imagen según la posición de la pantalla) deberá hacerse de forma manual. </w:t>
      </w:r>
    </w:p>
    <w:p w14:paraId="3EEE1A74" w14:textId="77777777" w:rsidR="00BE6367" w:rsidRDefault="00BE6367">
      <w:pPr>
        <w:pBdr>
          <w:top w:val="nil"/>
          <w:left w:val="nil"/>
          <w:bottom w:val="nil"/>
          <w:right w:val="nil"/>
          <w:between w:val="nil"/>
        </w:pBdr>
        <w:spacing w:after="0"/>
        <w:ind w:left="1080"/>
        <w:jc w:val="both"/>
        <w:rPr>
          <w:rFonts w:ascii="Arial" w:eastAsia="Arial" w:hAnsi="Arial" w:cs="Arial"/>
          <w:color w:val="000000"/>
          <w:sz w:val="20"/>
          <w:szCs w:val="20"/>
        </w:rPr>
      </w:pPr>
    </w:p>
    <w:p w14:paraId="4F79AD88" w14:textId="77777777" w:rsidR="00BE6367" w:rsidRDefault="00C90F6A">
      <w:pPr>
        <w:pBdr>
          <w:top w:val="nil"/>
          <w:left w:val="nil"/>
          <w:bottom w:val="nil"/>
          <w:right w:val="nil"/>
          <w:between w:val="nil"/>
        </w:pBdr>
        <w:spacing w:after="0"/>
        <w:ind w:left="1080"/>
        <w:jc w:val="both"/>
        <w:rPr>
          <w:rFonts w:ascii="Arial" w:eastAsia="Arial" w:hAnsi="Arial" w:cs="Arial"/>
          <w:color w:val="000000"/>
          <w:sz w:val="20"/>
          <w:szCs w:val="20"/>
        </w:rPr>
      </w:pPr>
      <w:r>
        <w:rPr>
          <w:rFonts w:ascii="Arial" w:eastAsia="Arial" w:hAnsi="Arial" w:cs="Arial"/>
          <w:b/>
          <w:bCs/>
          <w:sz w:val="20"/>
          <w:szCs w:val="20"/>
        </w:rPr>
        <w:t>RESPUESTA A OBSERVACIÓN</w:t>
      </w:r>
      <w:r>
        <w:rPr>
          <w:rFonts w:ascii="Arial" w:eastAsia="Arial" w:hAnsi="Arial" w:cs="Arial"/>
          <w:b/>
          <w:bCs/>
          <w:color w:val="000000"/>
          <w:sz w:val="20"/>
          <w:szCs w:val="20"/>
        </w:rPr>
        <w:t>:</w:t>
      </w:r>
      <w:r>
        <w:rPr>
          <w:rFonts w:ascii="Arial" w:eastAsia="Arial" w:hAnsi="Arial" w:cs="Arial"/>
          <w:color w:val="000000"/>
          <w:sz w:val="20"/>
          <w:szCs w:val="20"/>
        </w:rPr>
        <w:t xml:space="preserve"> </w:t>
      </w:r>
    </w:p>
    <w:p w14:paraId="0A0308A3" w14:textId="77777777" w:rsidR="00BE6367" w:rsidRDefault="00BE6367">
      <w:pPr>
        <w:pBdr>
          <w:top w:val="nil"/>
          <w:left w:val="nil"/>
          <w:bottom w:val="nil"/>
          <w:right w:val="nil"/>
          <w:between w:val="nil"/>
        </w:pBdr>
        <w:spacing w:after="0"/>
        <w:ind w:left="1080"/>
        <w:jc w:val="both"/>
        <w:rPr>
          <w:rFonts w:ascii="Arial" w:eastAsia="Arial" w:hAnsi="Arial" w:cs="Arial"/>
          <w:sz w:val="20"/>
          <w:szCs w:val="20"/>
        </w:rPr>
      </w:pPr>
    </w:p>
    <w:p w14:paraId="316EFA9B" w14:textId="77777777" w:rsidR="00BE6367" w:rsidRDefault="00C90F6A">
      <w:pPr>
        <w:pBdr>
          <w:top w:val="nil"/>
          <w:left w:val="nil"/>
          <w:bottom w:val="nil"/>
          <w:right w:val="nil"/>
          <w:between w:val="nil"/>
        </w:pBdr>
        <w:spacing w:after="0"/>
        <w:ind w:left="1080"/>
        <w:jc w:val="both"/>
        <w:rPr>
          <w:rFonts w:ascii="Arial" w:eastAsia="Arial" w:hAnsi="Arial" w:cs="Arial"/>
          <w:color w:val="000000"/>
          <w:sz w:val="20"/>
          <w:szCs w:val="20"/>
        </w:rPr>
      </w:pPr>
      <w:r>
        <w:rPr>
          <w:rFonts w:ascii="Arial" w:eastAsia="Arial" w:hAnsi="Arial" w:cs="Arial"/>
          <w:color w:val="000000"/>
          <w:sz w:val="20"/>
          <w:szCs w:val="20"/>
        </w:rPr>
        <w:t>No se acoge la observación. El requisito de rotación Pivot hace parte de las características técnicas mínimas solicitadas para los equipos All in One, en atención a las necesidades de flexibilidad, ergonomía y adaptabilidad en los entornos de trabajo de la Entidad.</w:t>
      </w:r>
    </w:p>
    <w:p w14:paraId="0990D84A" w14:textId="77777777" w:rsidR="00BE6367" w:rsidRDefault="00BE6367">
      <w:pPr>
        <w:pBdr>
          <w:top w:val="nil"/>
          <w:left w:val="nil"/>
          <w:bottom w:val="nil"/>
          <w:right w:val="nil"/>
          <w:between w:val="nil"/>
        </w:pBdr>
        <w:spacing w:after="0"/>
        <w:ind w:left="1080"/>
        <w:jc w:val="both"/>
        <w:rPr>
          <w:rFonts w:ascii="Arial" w:eastAsia="Arial" w:hAnsi="Arial" w:cs="Arial"/>
          <w:sz w:val="20"/>
          <w:szCs w:val="20"/>
        </w:rPr>
      </w:pPr>
    </w:p>
    <w:p w14:paraId="14C64968" w14:textId="77777777" w:rsidR="00BE6367" w:rsidRDefault="00C90F6A">
      <w:pPr>
        <w:pBdr>
          <w:top w:val="nil"/>
          <w:left w:val="nil"/>
          <w:bottom w:val="nil"/>
          <w:right w:val="nil"/>
          <w:between w:val="nil"/>
        </w:pBdr>
        <w:spacing w:after="0"/>
        <w:ind w:left="1080"/>
        <w:jc w:val="both"/>
        <w:rPr>
          <w:rFonts w:ascii="Arial" w:eastAsia="Arial" w:hAnsi="Arial" w:cs="Arial"/>
          <w:color w:val="000000"/>
          <w:sz w:val="20"/>
          <w:szCs w:val="20"/>
        </w:rPr>
      </w:pPr>
      <w:r>
        <w:rPr>
          <w:rFonts w:ascii="Arial" w:eastAsia="Arial" w:hAnsi="Arial" w:cs="Arial"/>
          <w:color w:val="000000"/>
          <w:sz w:val="20"/>
          <w:szCs w:val="20"/>
        </w:rPr>
        <w:t>Se precisa que este parámetro no limita la participación, toda vez que en el mercado existe pluralidad de fabricantes y referencias que cumplen con esta condición, garantizando así la libre concurrencia y la selección objetiva dentro del proceso.</w:t>
      </w:r>
    </w:p>
    <w:p w14:paraId="15FAC8F1" w14:textId="77777777" w:rsidR="00BE6367" w:rsidRDefault="00BE6367">
      <w:pPr>
        <w:pBdr>
          <w:top w:val="nil"/>
          <w:left w:val="nil"/>
          <w:bottom w:val="nil"/>
          <w:right w:val="nil"/>
          <w:between w:val="nil"/>
        </w:pBdr>
        <w:spacing w:after="0"/>
        <w:ind w:left="1080"/>
        <w:jc w:val="both"/>
        <w:rPr>
          <w:rFonts w:ascii="Arial" w:eastAsia="Arial" w:hAnsi="Arial" w:cs="Arial"/>
          <w:sz w:val="20"/>
          <w:szCs w:val="20"/>
        </w:rPr>
      </w:pPr>
    </w:p>
    <w:p w14:paraId="50FB74D4" w14:textId="77777777" w:rsidR="00BE6367" w:rsidRDefault="00C90F6A">
      <w:pPr>
        <w:pBdr>
          <w:top w:val="nil"/>
          <w:left w:val="nil"/>
          <w:bottom w:val="nil"/>
          <w:right w:val="nil"/>
          <w:between w:val="nil"/>
        </w:pBdr>
        <w:ind w:left="1080"/>
        <w:jc w:val="both"/>
        <w:rPr>
          <w:rFonts w:ascii="Arial" w:eastAsia="Arial" w:hAnsi="Arial" w:cs="Arial"/>
          <w:i/>
          <w:iCs/>
          <w:color w:val="000000"/>
          <w:sz w:val="20"/>
          <w:szCs w:val="20"/>
        </w:rPr>
      </w:pPr>
      <w:r>
        <w:rPr>
          <w:rFonts w:ascii="Arial" w:eastAsia="Arial" w:hAnsi="Arial" w:cs="Arial"/>
          <w:color w:val="000000"/>
          <w:sz w:val="20"/>
          <w:szCs w:val="20"/>
        </w:rPr>
        <w:t>De esta manera se mantiene la coherencia técnica del pliego y se asegura que los equipos ofertados respondan plenamente a las condiciones de uso y desempeño requeridas.</w:t>
      </w:r>
    </w:p>
    <w:p w14:paraId="59BDDA75" w14:textId="77777777" w:rsidR="00BE6367" w:rsidRDefault="00C90F6A">
      <w:pPr>
        <w:numPr>
          <w:ilvl w:val="0"/>
          <w:numId w:val="4"/>
        </w:numPr>
        <w:pBdr>
          <w:top w:val="nil"/>
          <w:left w:val="nil"/>
          <w:bottom w:val="nil"/>
          <w:right w:val="nil"/>
          <w:between w:val="nil"/>
        </w:pBdr>
        <w:spacing w:after="0"/>
        <w:jc w:val="both"/>
        <w:rPr>
          <w:rFonts w:ascii="Arial" w:eastAsia="Arial" w:hAnsi="Arial" w:cs="Arial"/>
          <w:b/>
          <w:bCs/>
          <w:i/>
          <w:iCs/>
          <w:color w:val="000000"/>
          <w:sz w:val="20"/>
          <w:szCs w:val="20"/>
        </w:rPr>
      </w:pPr>
      <w:r>
        <w:rPr>
          <w:rFonts w:ascii="Arial" w:eastAsia="Arial" w:hAnsi="Arial" w:cs="Arial"/>
          <w:b/>
          <w:bCs/>
          <w:i/>
          <w:iCs/>
          <w:color w:val="000000"/>
          <w:sz w:val="20"/>
          <w:szCs w:val="20"/>
          <w:u w:val="single"/>
        </w:rPr>
        <w:t>Disco Duro.</w:t>
      </w:r>
      <w:r>
        <w:rPr>
          <w:rFonts w:ascii="Arial" w:eastAsia="Arial" w:hAnsi="Arial" w:cs="Arial"/>
          <w:b/>
          <w:bCs/>
          <w:i/>
          <w:iCs/>
          <w:color w:val="000000"/>
          <w:sz w:val="20"/>
          <w:szCs w:val="20"/>
        </w:rPr>
        <w:t xml:space="preserve"> </w:t>
      </w:r>
      <w:r>
        <w:rPr>
          <w:rFonts w:ascii="Arial" w:eastAsia="Arial" w:hAnsi="Arial" w:cs="Arial"/>
          <w:i/>
          <w:iCs/>
          <w:color w:val="000000"/>
          <w:sz w:val="20"/>
          <w:szCs w:val="20"/>
        </w:rPr>
        <w:t xml:space="preserve">Solicitamos cordialmente a la entidad permitir la inclusión de unidades de estado sólido basadas en tecnología </w:t>
      </w:r>
      <w:r>
        <w:rPr>
          <w:rFonts w:ascii="Arial" w:eastAsia="Arial" w:hAnsi="Arial" w:cs="Arial"/>
          <w:b/>
          <w:bCs/>
          <w:i/>
          <w:iCs/>
          <w:color w:val="000000"/>
          <w:sz w:val="20"/>
          <w:szCs w:val="20"/>
        </w:rPr>
        <w:t>QLC (Quad-Level Cell)</w:t>
      </w:r>
      <w:r>
        <w:rPr>
          <w:rFonts w:ascii="Arial" w:eastAsia="Arial" w:hAnsi="Arial" w:cs="Arial"/>
          <w:i/>
          <w:iCs/>
          <w:color w:val="000000"/>
          <w:sz w:val="20"/>
          <w:szCs w:val="20"/>
        </w:rPr>
        <w:t> para el presente requerimiento, toda vez que estas representan una alternativa tecnológica plenamente vigente y ampliamente adoptada por la industria para entornos corporativos. Los SSD QLC han evolucionado significativamente en términos de rendimiento, confiabilidad y vida útil, incorporando mecanismos avanzados de administración de desgaste (wear leveling), corrección de errores (ECC), sobreaprovisionamiento (over-provisioning) y memoria caché inteligente, que garantizan una operación estable y segura para las cargas de trabajo típicas de oficina, productividad, colaboración, navegación, gestión documental y ejecución de aplicaciones empresariales.</w:t>
      </w:r>
    </w:p>
    <w:p w14:paraId="6372947E" w14:textId="77777777" w:rsidR="00BE6367" w:rsidRDefault="00C90F6A">
      <w:pPr>
        <w:numPr>
          <w:ilvl w:val="1"/>
          <w:numId w:val="2"/>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i/>
          <w:iCs/>
          <w:color w:val="000000"/>
          <w:sz w:val="20"/>
          <w:szCs w:val="20"/>
        </w:rPr>
        <w:t>Adicionalmente, la tecnología QLC permite ofrecer mayores capacidades de almacenamiento a un costo más eficiente, optimizando la relación costo-beneficio de la solución sin afectar la experiencia de uso del usuario final. En escenarios corporativos convencionales, donde predominan las operaciones de lectura y escritura moderadas, las diferencias prácticas frente a unidades TLC resultan poco significativas, manteniéndose niveles de desempeño acordes con los requerimientos actuales del mercado.</w:t>
      </w:r>
    </w:p>
    <w:p w14:paraId="3DB78562" w14:textId="77777777" w:rsidR="00BE6367" w:rsidRDefault="00C90F6A">
      <w:pPr>
        <w:numPr>
          <w:ilvl w:val="1"/>
          <w:numId w:val="2"/>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i/>
          <w:iCs/>
          <w:color w:val="000000"/>
          <w:sz w:val="20"/>
          <w:szCs w:val="20"/>
        </w:rPr>
        <w:lastRenderedPageBreak/>
        <w:t>Por lo anterior, restringir la participación únicamente a unidades basadas en memoria TLC podría limitar innecesariamente la pluralidad de oferentes y la disponibilidad de soluciones tecnológicas competitivas, sin que ello represente una mejora sustancial en la funcionalidad, seguridad o desempeño esperado para la finalidad del proyecto. En consecuencia, se solicita aceptar unidades SSD con tecnología QLC o superior, siempre que cumplan con los demás requisitos de capacidad, rendimiento y garantía establecidos por la entidad.</w:t>
      </w:r>
    </w:p>
    <w:p w14:paraId="4484D1C0" w14:textId="77777777" w:rsidR="00BE6367" w:rsidRDefault="00BE6367">
      <w:pPr>
        <w:pBdr>
          <w:top w:val="nil"/>
          <w:left w:val="nil"/>
          <w:bottom w:val="nil"/>
          <w:right w:val="nil"/>
          <w:between w:val="nil"/>
        </w:pBdr>
        <w:spacing w:after="0"/>
        <w:jc w:val="both"/>
        <w:rPr>
          <w:rFonts w:ascii="Arial" w:eastAsia="Arial" w:hAnsi="Arial" w:cs="Arial"/>
          <w:i/>
          <w:iCs/>
          <w:sz w:val="20"/>
          <w:szCs w:val="20"/>
        </w:rPr>
      </w:pPr>
    </w:p>
    <w:p w14:paraId="366F81BA" w14:textId="77777777" w:rsidR="00BE6367" w:rsidRDefault="00C90F6A">
      <w:pPr>
        <w:pBdr>
          <w:top w:val="nil"/>
          <w:left w:val="nil"/>
          <w:bottom w:val="nil"/>
          <w:right w:val="nil"/>
          <w:between w:val="nil"/>
        </w:pBdr>
        <w:spacing w:after="0"/>
        <w:ind w:left="1080"/>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w:t>
      </w:r>
    </w:p>
    <w:p w14:paraId="6ED08147" w14:textId="77777777" w:rsidR="00BE6367" w:rsidRDefault="00BE6367">
      <w:pPr>
        <w:pBdr>
          <w:top w:val="nil"/>
          <w:left w:val="nil"/>
          <w:bottom w:val="nil"/>
          <w:right w:val="nil"/>
          <w:between w:val="nil"/>
        </w:pBdr>
        <w:spacing w:after="0"/>
        <w:ind w:left="1080"/>
        <w:jc w:val="both"/>
        <w:rPr>
          <w:rFonts w:ascii="Arial" w:eastAsia="Arial" w:hAnsi="Arial" w:cs="Arial"/>
          <w:sz w:val="20"/>
          <w:szCs w:val="20"/>
        </w:rPr>
      </w:pPr>
    </w:p>
    <w:p w14:paraId="4FFC7049" w14:textId="77777777" w:rsidR="00BE6367" w:rsidRDefault="00C90F6A">
      <w:pPr>
        <w:pBdr>
          <w:top w:val="nil"/>
          <w:left w:val="nil"/>
          <w:bottom w:val="nil"/>
          <w:right w:val="nil"/>
          <w:between w:val="nil"/>
        </w:pBdr>
        <w:spacing w:after="0"/>
        <w:ind w:left="1080"/>
        <w:jc w:val="both"/>
        <w:rPr>
          <w:rFonts w:ascii="Arial" w:eastAsia="Arial" w:hAnsi="Arial" w:cs="Arial"/>
          <w:sz w:val="20"/>
          <w:szCs w:val="20"/>
        </w:rPr>
      </w:pPr>
      <w:r>
        <w:rPr>
          <w:rFonts w:ascii="Arial" w:eastAsia="Arial" w:hAnsi="Arial" w:cs="Arial"/>
          <w:sz w:val="20"/>
          <w:szCs w:val="20"/>
        </w:rPr>
        <w:t>Se acoge parcialmente la observación. Se precisa que se permitirá el uso de memorias con tecnología TLC o QLC, siempre que cuenten con parte número o SKU original del fabricante del equipo. Se aclara que el disco debe ser original e instalado desde la fabricación del equipo, garantizando así la trazabilidad y autenticidad del componente.</w:t>
      </w:r>
    </w:p>
    <w:p w14:paraId="226C8526" w14:textId="77777777" w:rsidR="00BE6367" w:rsidRDefault="00BE6367">
      <w:pPr>
        <w:pBdr>
          <w:top w:val="nil"/>
          <w:left w:val="nil"/>
          <w:bottom w:val="nil"/>
          <w:right w:val="nil"/>
          <w:between w:val="nil"/>
        </w:pBdr>
        <w:spacing w:after="0"/>
        <w:ind w:left="1080"/>
        <w:jc w:val="both"/>
        <w:rPr>
          <w:rFonts w:ascii="Arial" w:eastAsia="Arial" w:hAnsi="Arial" w:cs="Arial"/>
          <w:sz w:val="20"/>
          <w:szCs w:val="20"/>
        </w:rPr>
      </w:pPr>
    </w:p>
    <w:p w14:paraId="383CDA79" w14:textId="77777777" w:rsidR="00BE6367" w:rsidRDefault="00C90F6A">
      <w:pPr>
        <w:pBdr>
          <w:top w:val="nil"/>
          <w:left w:val="nil"/>
          <w:bottom w:val="nil"/>
          <w:right w:val="nil"/>
          <w:between w:val="nil"/>
        </w:pBdr>
        <w:spacing w:after="0"/>
        <w:ind w:left="1080"/>
        <w:jc w:val="both"/>
        <w:rPr>
          <w:rFonts w:ascii="Arial" w:eastAsia="Arial" w:hAnsi="Arial" w:cs="Arial"/>
          <w:sz w:val="20"/>
          <w:szCs w:val="20"/>
        </w:rPr>
      </w:pPr>
      <w:r>
        <w:rPr>
          <w:rFonts w:ascii="Arial" w:eastAsia="Arial" w:hAnsi="Arial" w:cs="Arial"/>
          <w:sz w:val="20"/>
          <w:szCs w:val="20"/>
        </w:rPr>
        <w:t>Adicionalmente, las especificaciones deberán cumplir con los requisitos técnicos mínimos establecidos en la ficha, asegurando el desempeño y la confiabilidad requeridos por la Entidad.</w:t>
      </w:r>
    </w:p>
    <w:p w14:paraId="11961B5E" w14:textId="77777777" w:rsidR="00BE6367" w:rsidRDefault="00BE6367">
      <w:pPr>
        <w:jc w:val="both"/>
        <w:rPr>
          <w:rFonts w:ascii="Arial" w:eastAsia="Arial" w:hAnsi="Arial" w:cs="Arial"/>
          <w:sz w:val="20"/>
          <w:szCs w:val="20"/>
        </w:rPr>
      </w:pPr>
    </w:p>
    <w:p w14:paraId="46A49C98" w14:textId="77777777" w:rsidR="00BE6367" w:rsidRDefault="00C90F6A">
      <w:pPr>
        <w:numPr>
          <w:ilvl w:val="0"/>
          <w:numId w:val="5"/>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b/>
          <w:bCs/>
          <w:i/>
          <w:iCs/>
          <w:color w:val="000000"/>
          <w:sz w:val="20"/>
          <w:szCs w:val="20"/>
          <w:u w:val="single"/>
        </w:rPr>
        <w:t>Tasa Refresco Pantalla.</w:t>
      </w:r>
      <w:r>
        <w:rPr>
          <w:rFonts w:ascii="Arial" w:eastAsia="Arial" w:hAnsi="Arial" w:cs="Arial"/>
          <w:b/>
          <w:bCs/>
          <w:i/>
          <w:iCs/>
          <w:color w:val="000000"/>
          <w:sz w:val="20"/>
          <w:szCs w:val="20"/>
        </w:rPr>
        <w:t xml:space="preserve"> </w:t>
      </w:r>
      <w:r>
        <w:rPr>
          <w:rFonts w:ascii="Arial" w:eastAsia="Arial" w:hAnsi="Arial" w:cs="Arial"/>
          <w:i/>
          <w:iCs/>
          <w:color w:val="000000"/>
          <w:sz w:val="20"/>
          <w:szCs w:val="20"/>
        </w:rPr>
        <w:t>Solicitamos respetuosamente a la entidad permitir la presentación de plataformas con una tasa de refresco mínima de 75 Hz, en consideración a que dicho valor se encuentra alineado con los estándares técnicos del mercado para equipos All-in-One (AIO) de uso corporativo, garantizando condiciones adecuadas de visualización sin afectar el desempeño funcional requerido, lo que están pidiendo es solo lo está cumpliendo a cabalidad el fabricante Dell y eso limita la participación plural de diferentes oferentes.</w:t>
      </w:r>
    </w:p>
    <w:p w14:paraId="34185CF2" w14:textId="77777777" w:rsidR="00BE6367" w:rsidRDefault="00C90F6A">
      <w:pPr>
        <w:numPr>
          <w:ilvl w:val="1"/>
          <w:numId w:val="2"/>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i/>
          <w:iCs/>
          <w:color w:val="000000"/>
          <w:sz w:val="20"/>
          <w:szCs w:val="20"/>
        </w:rPr>
        <w:t>Mantener el requisito en los términos actualmente definidos podría generar una restricción injustificada a la libre concurrencia, al favorecer de manera indirecta a un fabricante específico cuyas plataformas cumplen de forma exclusiva con dicha especificación, lo cual se aparta de los principios de pluralidad de oferentes e igualdad de condiciones consagrados en la normativa de contratación pública.</w:t>
      </w:r>
    </w:p>
    <w:p w14:paraId="25B26EB5" w14:textId="77777777" w:rsidR="00BE6367" w:rsidRDefault="00C90F6A">
      <w:pPr>
        <w:numPr>
          <w:ilvl w:val="1"/>
          <w:numId w:val="2"/>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i/>
          <w:iCs/>
          <w:color w:val="000000"/>
          <w:sz w:val="20"/>
          <w:szCs w:val="20"/>
        </w:rPr>
        <w:t>En este sentido, la limitación descrita podría vulnerar el principio de selección objetiva, al reducir el universo de proponentes sin una justificación técnica proporcional o necesaria, afectando la posibilidad de que participen múltiples fabricantes, entre ellos HP Colombia, y restringiendo la competencia efectiva en el proceso.</w:t>
      </w:r>
    </w:p>
    <w:p w14:paraId="494DD179" w14:textId="77777777" w:rsidR="00BE6367" w:rsidRDefault="00C90F6A">
      <w:pPr>
        <w:numPr>
          <w:ilvl w:val="1"/>
          <w:numId w:val="2"/>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i/>
          <w:iCs/>
          <w:color w:val="000000"/>
          <w:sz w:val="20"/>
          <w:szCs w:val="20"/>
        </w:rPr>
        <w:t>Por lo anterior, se solicita ajustar este requerimiento a valores acordes con el mercado, como el mínimo de 75 Hz, permitiendo así una mayor participación de oferentes y garantizando el cumplimiento de los principios de transparencia, economía y pluralidad.</w:t>
      </w:r>
    </w:p>
    <w:p w14:paraId="4969DFE1" w14:textId="77777777" w:rsidR="00BE6367" w:rsidRDefault="00BE6367">
      <w:pPr>
        <w:pBdr>
          <w:top w:val="nil"/>
          <w:left w:val="nil"/>
          <w:bottom w:val="nil"/>
          <w:right w:val="nil"/>
          <w:between w:val="nil"/>
        </w:pBdr>
        <w:spacing w:after="0"/>
        <w:jc w:val="both"/>
        <w:rPr>
          <w:rFonts w:ascii="Arial" w:eastAsia="Arial" w:hAnsi="Arial" w:cs="Arial"/>
          <w:i/>
          <w:iCs/>
          <w:sz w:val="20"/>
          <w:szCs w:val="20"/>
        </w:rPr>
      </w:pPr>
    </w:p>
    <w:p w14:paraId="7DBE9B2B" w14:textId="77777777" w:rsidR="00BE6367" w:rsidRDefault="00C90F6A">
      <w:pPr>
        <w:pBdr>
          <w:top w:val="nil"/>
          <w:left w:val="nil"/>
          <w:bottom w:val="nil"/>
          <w:right w:val="nil"/>
          <w:between w:val="nil"/>
        </w:pBdr>
        <w:spacing w:after="0"/>
        <w:ind w:left="1080"/>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1453B80F" w14:textId="77777777" w:rsidR="00BE6367" w:rsidRDefault="00BE6367">
      <w:pPr>
        <w:pBdr>
          <w:top w:val="nil"/>
          <w:left w:val="nil"/>
          <w:bottom w:val="nil"/>
          <w:right w:val="nil"/>
          <w:between w:val="nil"/>
        </w:pBdr>
        <w:spacing w:after="0"/>
        <w:ind w:left="1080"/>
        <w:jc w:val="both"/>
        <w:rPr>
          <w:rFonts w:ascii="Arial" w:eastAsia="Arial" w:hAnsi="Arial" w:cs="Arial"/>
          <w:sz w:val="20"/>
          <w:szCs w:val="20"/>
        </w:rPr>
      </w:pPr>
    </w:p>
    <w:p w14:paraId="6AC8DF9A" w14:textId="77777777" w:rsidR="00BE6367" w:rsidRDefault="00C90F6A">
      <w:pPr>
        <w:pBdr>
          <w:top w:val="nil"/>
          <w:left w:val="nil"/>
          <w:bottom w:val="nil"/>
          <w:right w:val="nil"/>
          <w:between w:val="nil"/>
        </w:pBdr>
        <w:spacing w:after="0"/>
        <w:ind w:left="1080"/>
        <w:jc w:val="both"/>
        <w:rPr>
          <w:rFonts w:ascii="Arial" w:eastAsia="Arial" w:hAnsi="Arial" w:cs="Arial"/>
          <w:sz w:val="20"/>
          <w:szCs w:val="20"/>
        </w:rPr>
      </w:pPr>
      <w:r>
        <w:rPr>
          <w:rFonts w:ascii="Arial" w:eastAsia="Arial" w:hAnsi="Arial" w:cs="Arial"/>
          <w:sz w:val="20"/>
          <w:szCs w:val="20"/>
        </w:rPr>
        <w:t>No se acoge la observación. Se precisa que la exigencia de contar con una pantalla de al menos 100 Hz corresponde a un requisito mínimo solicitado en la ficha técnica, orientado a garantizar una experiencia visual más fluida, cómoda y con menor fatiga durante la jornada laboral.</w:t>
      </w:r>
    </w:p>
    <w:p w14:paraId="37371414" w14:textId="77777777" w:rsidR="00BE6367" w:rsidRDefault="00BE6367">
      <w:pPr>
        <w:pBdr>
          <w:top w:val="nil"/>
          <w:left w:val="nil"/>
          <w:bottom w:val="nil"/>
          <w:right w:val="nil"/>
          <w:between w:val="nil"/>
        </w:pBdr>
        <w:spacing w:after="0"/>
        <w:ind w:left="1080"/>
        <w:jc w:val="both"/>
        <w:rPr>
          <w:rFonts w:ascii="Arial" w:eastAsia="Arial" w:hAnsi="Arial" w:cs="Arial"/>
          <w:sz w:val="20"/>
          <w:szCs w:val="20"/>
        </w:rPr>
      </w:pPr>
    </w:p>
    <w:p w14:paraId="570A03ED" w14:textId="77777777" w:rsidR="00BE6367" w:rsidRDefault="00C90F6A">
      <w:pPr>
        <w:pBdr>
          <w:top w:val="nil"/>
          <w:left w:val="nil"/>
          <w:bottom w:val="nil"/>
          <w:right w:val="nil"/>
          <w:between w:val="nil"/>
        </w:pBdr>
        <w:spacing w:after="0"/>
        <w:ind w:left="1080"/>
        <w:jc w:val="both"/>
        <w:rPr>
          <w:rFonts w:ascii="Arial" w:eastAsia="Arial" w:hAnsi="Arial" w:cs="Arial"/>
          <w:sz w:val="20"/>
          <w:szCs w:val="20"/>
        </w:rPr>
      </w:pPr>
      <w:r>
        <w:rPr>
          <w:rFonts w:ascii="Arial" w:eastAsia="Arial" w:hAnsi="Arial" w:cs="Arial"/>
          <w:sz w:val="20"/>
          <w:szCs w:val="20"/>
        </w:rPr>
        <w:lastRenderedPageBreak/>
        <w:t>Adicionalmente, se aclara que en el mercado existe una amplia variedad de fabricantes y modelos que cumplen este requisito mínimo, lo que asegura la pluralidad de opciones, la libre concurrencia y la selección objetiva dentro del proceso.</w:t>
      </w:r>
    </w:p>
    <w:p w14:paraId="364591EF" w14:textId="77777777" w:rsidR="00BE6367" w:rsidRDefault="00BE6367">
      <w:pPr>
        <w:pBdr>
          <w:top w:val="nil"/>
          <w:left w:val="nil"/>
          <w:bottom w:val="nil"/>
          <w:right w:val="nil"/>
          <w:between w:val="nil"/>
        </w:pBdr>
        <w:spacing w:after="0"/>
        <w:ind w:left="1080"/>
        <w:jc w:val="both"/>
        <w:rPr>
          <w:rFonts w:ascii="Arial" w:eastAsia="Arial" w:hAnsi="Arial" w:cs="Arial"/>
          <w:sz w:val="20"/>
          <w:szCs w:val="20"/>
        </w:rPr>
      </w:pPr>
    </w:p>
    <w:p w14:paraId="25FC5AD0" w14:textId="77777777" w:rsidR="00BE6367" w:rsidRDefault="00C90F6A">
      <w:pPr>
        <w:pBdr>
          <w:top w:val="nil"/>
          <w:left w:val="nil"/>
          <w:bottom w:val="nil"/>
          <w:right w:val="nil"/>
          <w:between w:val="nil"/>
        </w:pBdr>
        <w:spacing w:after="0"/>
        <w:ind w:left="1080"/>
        <w:jc w:val="both"/>
        <w:rPr>
          <w:rFonts w:ascii="Arial" w:eastAsia="Arial" w:hAnsi="Arial" w:cs="Arial"/>
          <w:color w:val="000000"/>
          <w:sz w:val="20"/>
          <w:szCs w:val="20"/>
        </w:rPr>
      </w:pPr>
      <w:r>
        <w:rPr>
          <w:rFonts w:ascii="Arial" w:eastAsia="Arial" w:hAnsi="Arial" w:cs="Arial"/>
          <w:sz w:val="20"/>
          <w:szCs w:val="20"/>
        </w:rPr>
        <w:t>De esta manera se mantiene la coherencia técnica del pliego y se garantiza que los equipos ofertados respondan plenamente a las necesidades de desempeño y confort visual requeridas por la Entidad.</w:t>
      </w:r>
    </w:p>
    <w:p w14:paraId="5D34A0FF" w14:textId="77777777" w:rsidR="00BE6367" w:rsidRDefault="00BE6367">
      <w:pPr>
        <w:pBdr>
          <w:top w:val="nil"/>
          <w:left w:val="nil"/>
          <w:bottom w:val="nil"/>
          <w:right w:val="nil"/>
          <w:between w:val="nil"/>
        </w:pBdr>
        <w:spacing w:after="0"/>
        <w:ind w:left="1080"/>
        <w:jc w:val="both"/>
        <w:rPr>
          <w:rFonts w:ascii="Arial" w:eastAsia="Arial" w:hAnsi="Arial" w:cs="Arial"/>
          <w:i/>
          <w:iCs/>
          <w:color w:val="000000"/>
          <w:sz w:val="20"/>
          <w:szCs w:val="20"/>
        </w:rPr>
      </w:pPr>
    </w:p>
    <w:p w14:paraId="471142C2" w14:textId="77777777" w:rsidR="00BE6367" w:rsidRDefault="00C90F6A">
      <w:pPr>
        <w:numPr>
          <w:ilvl w:val="0"/>
          <w:numId w:val="2"/>
        </w:numPr>
        <w:pBdr>
          <w:top w:val="nil"/>
          <w:left w:val="nil"/>
          <w:bottom w:val="nil"/>
          <w:right w:val="nil"/>
          <w:between w:val="nil"/>
        </w:pBdr>
        <w:spacing w:after="0"/>
        <w:jc w:val="both"/>
        <w:rPr>
          <w:rFonts w:ascii="Arial" w:eastAsia="Arial" w:hAnsi="Arial" w:cs="Arial"/>
          <w:b/>
          <w:bCs/>
          <w:i/>
          <w:iCs/>
          <w:color w:val="000000"/>
          <w:sz w:val="20"/>
          <w:szCs w:val="20"/>
        </w:rPr>
      </w:pPr>
      <w:r>
        <w:rPr>
          <w:rFonts w:ascii="Arial" w:eastAsia="Arial" w:hAnsi="Arial" w:cs="Arial"/>
          <w:b/>
          <w:bCs/>
          <w:i/>
          <w:iCs/>
          <w:color w:val="000000"/>
          <w:sz w:val="20"/>
          <w:szCs w:val="20"/>
          <w:u w:val="single"/>
        </w:rPr>
        <w:t xml:space="preserve">Memoria </w:t>
      </w:r>
      <w:r>
        <w:rPr>
          <w:rFonts w:ascii="Arial" w:eastAsia="Arial" w:hAnsi="Arial" w:cs="Arial"/>
          <w:i/>
          <w:iCs/>
          <w:color w:val="000000"/>
          <w:sz w:val="20"/>
          <w:szCs w:val="20"/>
        </w:rPr>
        <w:t>En pro de la pluralidad de marcas, se solicita a la entidad especificar mínimo memorias DDR5 5600, ello debido a que solamente una marca del mercado colombiano indica usar memorias DDR5 6400, ello limita el proceso solo a esa marca, adicional a lo anterior DDR5 5600 presenta las siguientes ventajas frente a DDR5 6400:</w:t>
      </w:r>
    </w:p>
    <w:p w14:paraId="7C3AEA6F" w14:textId="77777777" w:rsidR="00BE6367" w:rsidRDefault="00C90F6A">
      <w:pPr>
        <w:numPr>
          <w:ilvl w:val="1"/>
          <w:numId w:val="2"/>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i/>
          <w:iCs/>
          <w:color w:val="000000"/>
          <w:sz w:val="20"/>
          <w:szCs w:val="20"/>
        </w:rPr>
        <w:t>Menor voltaje: lo que se traduce en menos calor, por ende mayor duración de los componentes.</w:t>
      </w:r>
    </w:p>
    <w:p w14:paraId="7B409BFB" w14:textId="77777777" w:rsidR="00BE6367" w:rsidRDefault="00C90F6A">
      <w:pPr>
        <w:numPr>
          <w:ilvl w:val="1"/>
          <w:numId w:val="2"/>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i/>
          <w:iCs/>
          <w:color w:val="000000"/>
          <w:sz w:val="20"/>
          <w:szCs w:val="20"/>
        </w:rPr>
        <w:t>Rendimiento: En productividad diaria (Word, Excel, navegación, videollamadas): la diferencia es prácticamente imperceptible, la eficiencia de DDR5 6400 solo se ve reflejada en trabajos de alta intensidad como videojuegos.</w:t>
      </w:r>
    </w:p>
    <w:p w14:paraId="78ACEF88" w14:textId="77777777" w:rsidR="00BE6367" w:rsidRDefault="00C90F6A">
      <w:pPr>
        <w:numPr>
          <w:ilvl w:val="1"/>
          <w:numId w:val="2"/>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i/>
          <w:iCs/>
          <w:color w:val="000000"/>
          <w:sz w:val="20"/>
          <w:szCs w:val="20"/>
        </w:rPr>
        <w:t>Precio: DDR5 5600 es más económico que DDR5 6400 y en el contexto actual donde cada vez hay menos componentes para fabricar memorias, hace que las memorias sean costosas.</w:t>
      </w:r>
    </w:p>
    <w:p w14:paraId="1D6E1E48" w14:textId="77777777" w:rsidR="00BE6367" w:rsidRDefault="00C90F6A">
      <w:pPr>
        <w:numPr>
          <w:ilvl w:val="1"/>
          <w:numId w:val="2"/>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i/>
          <w:iCs/>
          <w:color w:val="000000"/>
          <w:sz w:val="20"/>
          <w:szCs w:val="20"/>
        </w:rPr>
        <w:t>En multitarea y cargas mixtas: DDR5-5600 mantiene un rendimiento sólido sin penalizar autonomía ni estabilidad.</w:t>
      </w:r>
    </w:p>
    <w:p w14:paraId="248C7CF6" w14:textId="77777777" w:rsidR="00BE6367" w:rsidRDefault="00C90F6A">
      <w:pPr>
        <w:numPr>
          <w:ilvl w:val="1"/>
          <w:numId w:val="2"/>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i/>
          <w:iCs/>
          <w:color w:val="000000"/>
          <w:sz w:val="20"/>
          <w:szCs w:val="20"/>
        </w:rPr>
        <w:t>Lo que están pidiendo es solo lo está cumpliendo a cabalidad el fabricante Dell y eso limita la participación plural de diferentes oferentes.</w:t>
      </w:r>
    </w:p>
    <w:p w14:paraId="3CA2A3D0" w14:textId="77777777" w:rsidR="00BE6367" w:rsidRDefault="00BE6367">
      <w:pPr>
        <w:pBdr>
          <w:top w:val="nil"/>
          <w:left w:val="nil"/>
          <w:bottom w:val="nil"/>
          <w:right w:val="nil"/>
          <w:between w:val="nil"/>
        </w:pBdr>
        <w:spacing w:after="0"/>
        <w:ind w:left="1080"/>
        <w:jc w:val="both"/>
        <w:rPr>
          <w:rFonts w:ascii="Arial" w:eastAsia="Arial" w:hAnsi="Arial" w:cs="Arial"/>
          <w:sz w:val="20"/>
          <w:szCs w:val="20"/>
        </w:rPr>
      </w:pPr>
    </w:p>
    <w:p w14:paraId="4673301D" w14:textId="77777777" w:rsidR="00BE6367" w:rsidRDefault="00BE6367">
      <w:pPr>
        <w:pBdr>
          <w:top w:val="nil"/>
          <w:left w:val="nil"/>
          <w:bottom w:val="nil"/>
          <w:right w:val="nil"/>
          <w:between w:val="nil"/>
        </w:pBdr>
        <w:spacing w:after="0"/>
        <w:ind w:left="1080"/>
        <w:jc w:val="both"/>
        <w:rPr>
          <w:rFonts w:ascii="Arial" w:eastAsia="Arial" w:hAnsi="Arial" w:cs="Arial"/>
          <w:sz w:val="20"/>
          <w:szCs w:val="20"/>
        </w:rPr>
      </w:pPr>
    </w:p>
    <w:p w14:paraId="4C09A24D" w14:textId="77777777" w:rsidR="00BE6367" w:rsidRDefault="00C90F6A">
      <w:pPr>
        <w:pBdr>
          <w:top w:val="nil"/>
          <w:left w:val="nil"/>
          <w:bottom w:val="nil"/>
          <w:right w:val="nil"/>
          <w:between w:val="nil"/>
        </w:pBdr>
        <w:spacing w:after="0"/>
        <w:ind w:left="1080"/>
        <w:jc w:val="both"/>
        <w:rPr>
          <w:rFonts w:ascii="Arial" w:eastAsia="Arial" w:hAnsi="Arial" w:cs="Arial"/>
          <w:color w:val="000000"/>
          <w:sz w:val="20"/>
          <w:szCs w:val="20"/>
        </w:rPr>
      </w:pPr>
      <w:r>
        <w:rPr>
          <w:rFonts w:ascii="Arial" w:eastAsia="Arial" w:hAnsi="Arial" w:cs="Arial"/>
          <w:b/>
          <w:bCs/>
          <w:sz w:val="20"/>
          <w:szCs w:val="20"/>
        </w:rPr>
        <w:t>RESPUESTA A OBSERVACIÓN</w:t>
      </w:r>
      <w:r>
        <w:rPr>
          <w:rFonts w:ascii="Arial" w:eastAsia="Arial" w:hAnsi="Arial" w:cs="Arial"/>
          <w:sz w:val="20"/>
          <w:szCs w:val="20"/>
        </w:rPr>
        <w:t>:</w:t>
      </w:r>
      <w:r>
        <w:rPr>
          <w:rFonts w:ascii="Arial" w:eastAsia="Arial" w:hAnsi="Arial" w:cs="Arial"/>
          <w:color w:val="000000"/>
          <w:sz w:val="20"/>
          <w:szCs w:val="20"/>
        </w:rPr>
        <w:t xml:space="preserve"> </w:t>
      </w:r>
    </w:p>
    <w:p w14:paraId="28A42EAE" w14:textId="77777777" w:rsidR="00BE6367" w:rsidRDefault="00BE6367">
      <w:pPr>
        <w:pBdr>
          <w:top w:val="nil"/>
          <w:left w:val="nil"/>
          <w:bottom w:val="nil"/>
          <w:right w:val="nil"/>
          <w:between w:val="nil"/>
        </w:pBdr>
        <w:spacing w:after="0"/>
        <w:ind w:left="1080"/>
        <w:jc w:val="both"/>
        <w:rPr>
          <w:rFonts w:ascii="Arial" w:eastAsia="Arial" w:hAnsi="Arial" w:cs="Arial"/>
          <w:sz w:val="20"/>
          <w:szCs w:val="20"/>
        </w:rPr>
      </w:pPr>
    </w:p>
    <w:p w14:paraId="3D9F805C" w14:textId="77777777" w:rsidR="00BE6367" w:rsidRDefault="00C90F6A">
      <w:pPr>
        <w:pBdr>
          <w:top w:val="nil"/>
          <w:left w:val="nil"/>
          <w:bottom w:val="nil"/>
          <w:right w:val="nil"/>
          <w:between w:val="nil"/>
        </w:pBdr>
        <w:spacing w:after="0"/>
        <w:ind w:left="1080"/>
        <w:jc w:val="both"/>
        <w:rPr>
          <w:rFonts w:ascii="Arial" w:eastAsia="Arial" w:hAnsi="Arial" w:cs="Arial"/>
          <w:color w:val="000000"/>
          <w:sz w:val="20"/>
          <w:szCs w:val="20"/>
        </w:rPr>
      </w:pPr>
      <w:r>
        <w:rPr>
          <w:rFonts w:ascii="Arial" w:eastAsia="Arial" w:hAnsi="Arial" w:cs="Arial"/>
          <w:color w:val="000000"/>
          <w:sz w:val="20"/>
          <w:szCs w:val="20"/>
        </w:rPr>
        <w:t>No se acoge la observación. La elección de memoria DDR5-6400 MT/s en los equipos All-in-One responde a un objetivo de largo plazo que garantiza un mayor ancho de banda frente a configuraciones de DDR5-5600 MT/s. En términos técnicos, la velocidad de 6400 MT/s representa aproximadamente un 15% más de tasa de transferencia, lo que favorece el movimiento de datos entre CPU y memoria en cargas sensibles al subsistema de memoria.</w:t>
      </w:r>
    </w:p>
    <w:p w14:paraId="2B0C1746" w14:textId="77777777" w:rsidR="00BE6367" w:rsidRDefault="00BE6367">
      <w:pPr>
        <w:pBdr>
          <w:top w:val="nil"/>
          <w:left w:val="nil"/>
          <w:bottom w:val="nil"/>
          <w:right w:val="nil"/>
          <w:between w:val="nil"/>
        </w:pBdr>
        <w:spacing w:after="0"/>
        <w:ind w:left="1080"/>
        <w:jc w:val="both"/>
        <w:rPr>
          <w:rFonts w:ascii="Arial" w:eastAsia="Arial" w:hAnsi="Arial" w:cs="Arial"/>
          <w:sz w:val="20"/>
          <w:szCs w:val="20"/>
        </w:rPr>
      </w:pPr>
    </w:p>
    <w:p w14:paraId="09E5A7B5" w14:textId="77777777" w:rsidR="00BE6367" w:rsidRDefault="00C90F6A">
      <w:pPr>
        <w:pBdr>
          <w:top w:val="nil"/>
          <w:left w:val="nil"/>
          <w:bottom w:val="nil"/>
          <w:right w:val="nil"/>
          <w:between w:val="nil"/>
        </w:pBdr>
        <w:spacing w:after="0"/>
        <w:ind w:left="1080"/>
        <w:jc w:val="both"/>
        <w:rPr>
          <w:rFonts w:ascii="Arial" w:eastAsia="Arial" w:hAnsi="Arial" w:cs="Arial"/>
          <w:color w:val="000000"/>
          <w:sz w:val="20"/>
          <w:szCs w:val="20"/>
        </w:rPr>
      </w:pPr>
      <w:r>
        <w:rPr>
          <w:rFonts w:ascii="Arial" w:eastAsia="Arial" w:hAnsi="Arial" w:cs="Arial"/>
          <w:color w:val="000000"/>
          <w:sz w:val="20"/>
          <w:szCs w:val="20"/>
        </w:rPr>
        <w:t>En la práctica, este beneficio se refleja en escenarios de multitarea intensiva, colaboración con múltiples aplicaciones abiertas, videoconferencias, navegación exigente, analítica ligera y creación de contenido de oficina, donde una memoria más rápida contribuye a una mejor capacidad de respuesta del sistema.</w:t>
      </w:r>
    </w:p>
    <w:p w14:paraId="4A5F84F9" w14:textId="77777777" w:rsidR="00BE6367" w:rsidRDefault="00BE6367">
      <w:pPr>
        <w:pBdr>
          <w:top w:val="nil"/>
          <w:left w:val="nil"/>
          <w:bottom w:val="nil"/>
          <w:right w:val="nil"/>
          <w:between w:val="nil"/>
        </w:pBdr>
        <w:spacing w:after="0"/>
        <w:ind w:left="1080"/>
        <w:jc w:val="both"/>
        <w:rPr>
          <w:rFonts w:ascii="Arial" w:eastAsia="Arial" w:hAnsi="Arial" w:cs="Arial"/>
          <w:sz w:val="20"/>
          <w:szCs w:val="20"/>
        </w:rPr>
      </w:pPr>
    </w:p>
    <w:p w14:paraId="4D7D2377" w14:textId="77777777" w:rsidR="00BE6367" w:rsidRDefault="00C90F6A">
      <w:pPr>
        <w:pBdr>
          <w:top w:val="nil"/>
          <w:left w:val="nil"/>
          <w:bottom w:val="nil"/>
          <w:right w:val="nil"/>
          <w:between w:val="nil"/>
        </w:pBdr>
        <w:spacing w:after="0"/>
        <w:ind w:left="1080"/>
        <w:jc w:val="both"/>
        <w:rPr>
          <w:rFonts w:ascii="Arial" w:eastAsia="Arial" w:hAnsi="Arial" w:cs="Arial"/>
          <w:color w:val="000000"/>
          <w:sz w:val="20"/>
          <w:szCs w:val="20"/>
        </w:rPr>
      </w:pPr>
      <w:r>
        <w:rPr>
          <w:rFonts w:ascii="Arial" w:eastAsia="Arial" w:hAnsi="Arial" w:cs="Arial"/>
          <w:color w:val="000000"/>
          <w:sz w:val="20"/>
          <w:szCs w:val="20"/>
        </w:rPr>
        <w:t>La velocidad de operación solicitada garantiza a la Entidad contar con la versión más actualizada disponible en el mercado, lo que brinda seguridad sobre la vigencia tecnológica y confiabilidad de la inversión en el tiempo.</w:t>
      </w:r>
    </w:p>
    <w:p w14:paraId="54C6725B" w14:textId="77777777" w:rsidR="00BE6367" w:rsidRDefault="00BE6367">
      <w:pPr>
        <w:pBdr>
          <w:top w:val="nil"/>
          <w:left w:val="nil"/>
          <w:bottom w:val="nil"/>
          <w:right w:val="nil"/>
          <w:between w:val="nil"/>
        </w:pBdr>
        <w:spacing w:after="0"/>
        <w:ind w:left="1080"/>
        <w:jc w:val="both"/>
        <w:rPr>
          <w:rFonts w:ascii="Arial" w:eastAsia="Arial" w:hAnsi="Arial" w:cs="Arial"/>
          <w:sz w:val="20"/>
          <w:szCs w:val="20"/>
        </w:rPr>
      </w:pPr>
    </w:p>
    <w:p w14:paraId="5C1DFD00" w14:textId="77777777" w:rsidR="00BE6367" w:rsidRDefault="00C90F6A">
      <w:pPr>
        <w:pBdr>
          <w:top w:val="nil"/>
          <w:left w:val="nil"/>
          <w:bottom w:val="nil"/>
          <w:right w:val="nil"/>
          <w:between w:val="nil"/>
        </w:pBdr>
        <w:spacing w:after="0"/>
        <w:ind w:left="1080"/>
        <w:jc w:val="both"/>
        <w:rPr>
          <w:rFonts w:ascii="Arial" w:eastAsia="Arial" w:hAnsi="Arial" w:cs="Arial"/>
          <w:color w:val="000000"/>
          <w:sz w:val="20"/>
          <w:szCs w:val="20"/>
        </w:rPr>
      </w:pPr>
      <w:r>
        <w:rPr>
          <w:rFonts w:ascii="Arial" w:eastAsia="Arial" w:hAnsi="Arial" w:cs="Arial"/>
          <w:color w:val="000000"/>
          <w:sz w:val="20"/>
          <w:szCs w:val="20"/>
        </w:rPr>
        <w:t xml:space="preserve">En consecuencia, se mantiene el requisito de memoria RAM DDR5 de mínimo 6400 MT/s con capacidad de expansión a 64 GB, considerando que esta especificación corresponde al </w:t>
      </w:r>
      <w:r>
        <w:rPr>
          <w:rFonts w:ascii="Arial" w:eastAsia="Arial" w:hAnsi="Arial" w:cs="Arial"/>
          <w:sz w:val="20"/>
          <w:szCs w:val="20"/>
        </w:rPr>
        <w:t>nivel</w:t>
      </w:r>
      <w:r>
        <w:rPr>
          <w:rFonts w:ascii="Arial" w:eastAsia="Arial" w:hAnsi="Arial" w:cs="Arial"/>
          <w:color w:val="000000"/>
          <w:sz w:val="20"/>
          <w:szCs w:val="20"/>
        </w:rPr>
        <w:t xml:space="preserve"> de desempeño esperado para el perfil de equipo requerido y resulta acorde con las plataformas tecnológicas de última generación disponibles en este segmento.</w:t>
      </w:r>
    </w:p>
    <w:p w14:paraId="057FD114" w14:textId="77777777" w:rsidR="00BE6367" w:rsidRDefault="00BE6367">
      <w:pPr>
        <w:pBdr>
          <w:top w:val="nil"/>
          <w:left w:val="nil"/>
          <w:bottom w:val="nil"/>
          <w:right w:val="nil"/>
          <w:between w:val="nil"/>
        </w:pBdr>
        <w:spacing w:after="0"/>
        <w:ind w:left="1080"/>
        <w:jc w:val="both"/>
        <w:rPr>
          <w:rFonts w:ascii="Arial" w:eastAsia="Arial" w:hAnsi="Arial" w:cs="Arial"/>
          <w:b/>
          <w:bCs/>
          <w:i/>
          <w:iCs/>
          <w:color w:val="000000"/>
          <w:sz w:val="20"/>
          <w:szCs w:val="20"/>
          <w:u w:val="single"/>
        </w:rPr>
      </w:pPr>
    </w:p>
    <w:p w14:paraId="1384AB35" w14:textId="77777777" w:rsidR="00BE6367" w:rsidRDefault="00C90F6A">
      <w:pPr>
        <w:numPr>
          <w:ilvl w:val="0"/>
          <w:numId w:val="6"/>
        </w:numPr>
        <w:pBdr>
          <w:top w:val="nil"/>
          <w:left w:val="nil"/>
          <w:bottom w:val="nil"/>
          <w:right w:val="nil"/>
          <w:between w:val="nil"/>
        </w:pBdr>
        <w:jc w:val="both"/>
        <w:rPr>
          <w:rFonts w:ascii="Arial" w:eastAsia="Arial" w:hAnsi="Arial" w:cs="Arial"/>
          <w:b/>
          <w:bCs/>
          <w:i/>
          <w:iCs/>
          <w:color w:val="000000"/>
          <w:sz w:val="20"/>
          <w:szCs w:val="20"/>
        </w:rPr>
      </w:pPr>
      <w:r>
        <w:rPr>
          <w:rFonts w:ascii="Arial" w:eastAsia="Arial" w:hAnsi="Arial" w:cs="Arial"/>
          <w:b/>
          <w:bCs/>
          <w:i/>
          <w:iCs/>
          <w:color w:val="000000"/>
          <w:sz w:val="20"/>
          <w:szCs w:val="20"/>
          <w:u w:val="single"/>
        </w:rPr>
        <w:t>Camara WEB</w:t>
      </w:r>
      <w:r>
        <w:rPr>
          <w:rFonts w:ascii="Arial" w:eastAsia="Arial" w:hAnsi="Arial" w:cs="Arial"/>
          <w:b/>
          <w:bCs/>
          <w:i/>
          <w:iCs/>
          <w:color w:val="000000"/>
          <w:sz w:val="20"/>
          <w:szCs w:val="20"/>
        </w:rPr>
        <w:t xml:space="preserve"> </w:t>
      </w:r>
      <w:r>
        <w:rPr>
          <w:rFonts w:ascii="Arial" w:eastAsia="Arial" w:hAnsi="Arial" w:cs="Arial"/>
          <w:i/>
          <w:iCs/>
          <w:color w:val="000000"/>
          <w:sz w:val="20"/>
          <w:szCs w:val="20"/>
        </w:rPr>
        <w:t xml:space="preserve">Solicitamos respetuosamente a la entidad considerar la inclusión de </w:t>
      </w:r>
      <w:r>
        <w:rPr>
          <w:rFonts w:ascii="Arial" w:eastAsia="Arial" w:hAnsi="Arial" w:cs="Arial"/>
          <w:b/>
          <w:bCs/>
          <w:i/>
          <w:iCs/>
          <w:color w:val="000000"/>
          <w:sz w:val="20"/>
          <w:szCs w:val="20"/>
        </w:rPr>
        <w:t>características asociadas a capacidades de inteligencia artificial (IA) en la cámara</w:t>
      </w:r>
      <w:r>
        <w:rPr>
          <w:rFonts w:ascii="Arial" w:eastAsia="Arial" w:hAnsi="Arial" w:cs="Arial"/>
          <w:i/>
          <w:iCs/>
          <w:color w:val="000000"/>
          <w:sz w:val="20"/>
          <w:szCs w:val="20"/>
        </w:rPr>
        <w:t>, orientadas a optimizar la experiencia de colaboración, videoconferencia y trabajo híbrido. Actualmente, las plataformas empresariales modernas incorporan tecnologías basadas en IA que permiten funciones como encuadre automático del usuario, desenfoque o sustitución inteligente de fondo, correcciones dinámicas de iluminación, seguimiento del presentador, mejora de imagen en tiempo real y procesamiento avanzado de audio para reducción de ruido ambiental. Estas capacidades contribuyen significativamente a mejorar la calidad de las reuniones virtuales y la productividad de los usuarios. </w:t>
      </w:r>
    </w:p>
    <w:p w14:paraId="63A8D9E8" w14:textId="77777777" w:rsidR="00BE6367" w:rsidRDefault="00C90F6A">
      <w:pPr>
        <w:numPr>
          <w:ilvl w:val="0"/>
          <w:numId w:val="7"/>
        </w:numPr>
        <w:ind w:left="1068"/>
        <w:jc w:val="both"/>
        <w:rPr>
          <w:rFonts w:ascii="Arial" w:eastAsia="Arial" w:hAnsi="Arial" w:cs="Arial"/>
          <w:i/>
          <w:iCs/>
          <w:sz w:val="20"/>
          <w:szCs w:val="20"/>
        </w:rPr>
      </w:pPr>
      <w:r>
        <w:rPr>
          <w:rFonts w:ascii="Arial" w:eastAsia="Arial" w:hAnsi="Arial" w:cs="Arial"/>
          <w:i/>
          <w:iCs/>
          <w:sz w:val="20"/>
          <w:szCs w:val="20"/>
        </w:rPr>
        <w:t>A diferencia de características tradicionales enfocadas únicamente en la calidad de captura de imagen, como HDR, cuyo aprovechamiento suele depender de condiciones específicas de iluminación y en muchos casos permanece subutilizado por desconocimiento de los usuarios, las funciones impulsadas por IA generan beneficios prácticos y visibles durante el uso diario de herramientas de colaboración tales como Microsoft Teams, Zoom, Webex y otras plataformas de comunicación corporativa.</w:t>
      </w:r>
    </w:p>
    <w:p w14:paraId="5FBC8853" w14:textId="77777777" w:rsidR="00BE6367" w:rsidRDefault="00C90F6A">
      <w:pPr>
        <w:numPr>
          <w:ilvl w:val="0"/>
          <w:numId w:val="7"/>
        </w:numPr>
        <w:ind w:left="1068"/>
        <w:jc w:val="both"/>
        <w:rPr>
          <w:rFonts w:ascii="Arial" w:eastAsia="Arial" w:hAnsi="Arial" w:cs="Arial"/>
          <w:i/>
          <w:iCs/>
          <w:sz w:val="20"/>
          <w:szCs w:val="20"/>
        </w:rPr>
      </w:pPr>
      <w:r>
        <w:rPr>
          <w:rFonts w:ascii="Arial" w:eastAsia="Arial" w:hAnsi="Arial" w:cs="Arial"/>
          <w:i/>
          <w:iCs/>
          <w:sz w:val="20"/>
          <w:szCs w:val="20"/>
        </w:rPr>
        <w:t>Adicionalmente, las soluciones de videoconferencia basadas en IA permiten mejorar la presencia digital del usuario mediante ajustes automáticos de imagen y audio, reduciendo la necesidad de configuraciones manuales y garantizando una experiencia más consistente en diferentes entornos de trabajo. Estas funcionalidades representan una tendencia consolidada en el mercado de equipos corporativos de última generación, aportando un valor agregado tangible para los usuarios finales y favoreciendo un mejor aprovechamiento de las capacidades tecnológicas incluidas en la plataforma. El mantener como obligatorio la tecnología HDR restringe la participación de fabricantes que ofrecen tecnologías recientes y con mejoras de uso frente a HDR.</w:t>
      </w:r>
    </w:p>
    <w:p w14:paraId="5EC6B955" w14:textId="77777777" w:rsidR="00BE6367" w:rsidRDefault="00C90F6A">
      <w:pPr>
        <w:numPr>
          <w:ilvl w:val="0"/>
          <w:numId w:val="2"/>
        </w:numPr>
        <w:ind w:left="1068"/>
        <w:jc w:val="both"/>
        <w:rPr>
          <w:rFonts w:ascii="Arial" w:eastAsia="Arial" w:hAnsi="Arial" w:cs="Arial"/>
          <w:i/>
          <w:iCs/>
          <w:sz w:val="20"/>
          <w:szCs w:val="20"/>
        </w:rPr>
      </w:pPr>
      <w:r>
        <w:rPr>
          <w:rFonts w:ascii="Arial" w:eastAsia="Arial" w:hAnsi="Arial" w:cs="Arial"/>
          <w:i/>
          <w:iCs/>
          <w:sz w:val="20"/>
          <w:szCs w:val="20"/>
        </w:rPr>
        <w:t>Lo que están pidiendo es solo lo está cumpliendo a cabalidad el fabricante Dell y eso limita la participación plural de diferentes fabricantes disponibles en el mercado colombiano.</w:t>
      </w:r>
    </w:p>
    <w:p w14:paraId="08C0E246" w14:textId="77777777" w:rsidR="00BE6367" w:rsidRDefault="00C90F6A">
      <w:pPr>
        <w:ind w:left="708"/>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6AB55C96" w14:textId="77777777" w:rsidR="00BE6367" w:rsidRDefault="00C90F6A">
      <w:pPr>
        <w:ind w:left="708"/>
        <w:jc w:val="both"/>
        <w:rPr>
          <w:rFonts w:ascii="Arial" w:eastAsia="Arial" w:hAnsi="Arial" w:cs="Arial"/>
          <w:sz w:val="20"/>
          <w:szCs w:val="20"/>
        </w:rPr>
      </w:pPr>
      <w:r>
        <w:rPr>
          <w:rFonts w:ascii="Arial" w:eastAsia="Arial" w:hAnsi="Arial" w:cs="Arial"/>
          <w:sz w:val="20"/>
          <w:szCs w:val="20"/>
        </w:rPr>
        <w:t>No se acoge la observación. El requisito definido corresponde a los mínimos solicitados en la ficha técnica de producto, establecidas como condiciones necesarias para garantizar la calidad de imagen y el desempeño requerido por los usuarios.</w:t>
      </w:r>
    </w:p>
    <w:p w14:paraId="4AADD96F" w14:textId="77777777" w:rsidR="00BE6367" w:rsidRDefault="00C90F6A">
      <w:pPr>
        <w:ind w:left="708"/>
        <w:jc w:val="both"/>
        <w:rPr>
          <w:rFonts w:ascii="Arial" w:eastAsia="Arial" w:hAnsi="Arial" w:cs="Arial"/>
          <w:sz w:val="20"/>
          <w:szCs w:val="20"/>
        </w:rPr>
      </w:pPr>
      <w:r>
        <w:rPr>
          <w:rFonts w:ascii="Arial" w:eastAsia="Arial" w:hAnsi="Arial" w:cs="Arial"/>
          <w:sz w:val="20"/>
          <w:szCs w:val="20"/>
        </w:rPr>
        <w:t>Se precisa que, si bien pueden existir equipos con funcionalidades adicionales como inteligencia artificial para encuadre, seguimiento o corrección automática, estas características se consideran superiores a lo mínimo exigido y podrán ser ofertadas siempre que cumplan con los parámetros básicos establecidos.</w:t>
      </w:r>
    </w:p>
    <w:p w14:paraId="0A7B433B" w14:textId="77777777" w:rsidR="00BE6367" w:rsidRDefault="00C90F6A">
      <w:pPr>
        <w:ind w:left="708"/>
        <w:jc w:val="both"/>
        <w:rPr>
          <w:rFonts w:ascii="Arial" w:eastAsia="Arial" w:hAnsi="Arial" w:cs="Arial"/>
          <w:sz w:val="20"/>
          <w:szCs w:val="20"/>
        </w:rPr>
      </w:pPr>
      <w:r>
        <w:rPr>
          <w:rFonts w:ascii="Arial" w:eastAsia="Arial" w:hAnsi="Arial" w:cs="Arial"/>
          <w:sz w:val="20"/>
          <w:szCs w:val="20"/>
        </w:rPr>
        <w:t>De esta manera se asegura que todos los oferentes partan de un estándar mínimo común, sin restringir la posibilidad de presentar soluciones con especificaciones más avanzada.</w:t>
      </w:r>
    </w:p>
    <w:p w14:paraId="35CEE1FC" w14:textId="77777777" w:rsidR="00BE6367" w:rsidRDefault="00BE6367">
      <w:pPr>
        <w:jc w:val="both"/>
        <w:rPr>
          <w:rFonts w:ascii="Arial" w:eastAsia="Arial" w:hAnsi="Arial" w:cs="Arial"/>
          <w:sz w:val="20"/>
          <w:szCs w:val="20"/>
        </w:rPr>
      </w:pPr>
    </w:p>
    <w:p w14:paraId="5CC05930" w14:textId="77777777" w:rsidR="00BE6367" w:rsidRDefault="00C90F6A">
      <w:pPr>
        <w:spacing w:before="120"/>
        <w:jc w:val="both"/>
        <w:rPr>
          <w:rFonts w:ascii="Arial" w:eastAsia="Arial" w:hAnsi="Arial" w:cs="Arial"/>
          <w:b/>
          <w:bCs/>
          <w:sz w:val="20"/>
          <w:szCs w:val="20"/>
        </w:rPr>
      </w:pPr>
      <w:r>
        <w:rPr>
          <w:rFonts w:ascii="Arial" w:eastAsia="Arial" w:hAnsi="Arial" w:cs="Arial"/>
          <w:b/>
          <w:bCs/>
          <w:sz w:val="20"/>
          <w:szCs w:val="20"/>
        </w:rPr>
        <w:t>OBSERVACIÓN 5.</w:t>
      </w:r>
    </w:p>
    <w:p w14:paraId="5A2A5BB4" w14:textId="77777777" w:rsidR="00BE6367" w:rsidRDefault="00C90F6A">
      <w:pPr>
        <w:spacing w:before="120"/>
        <w:jc w:val="both"/>
        <w:rPr>
          <w:rFonts w:ascii="Arial" w:eastAsia="Arial" w:hAnsi="Arial" w:cs="Arial"/>
          <w:sz w:val="20"/>
          <w:szCs w:val="20"/>
        </w:rPr>
      </w:pPr>
      <w:r>
        <w:rPr>
          <w:rFonts w:ascii="Arial" w:eastAsia="Arial" w:hAnsi="Arial" w:cs="Arial"/>
          <w:i/>
          <w:iCs/>
          <w:sz w:val="20"/>
          <w:szCs w:val="20"/>
          <w:u w:val="single"/>
        </w:rPr>
        <w:lastRenderedPageBreak/>
        <w:t>COMPUTADOR DE ESCRITORIO – COMPUTADOR DE ESCRITORIO - WORKSTATION</w:t>
      </w:r>
    </w:p>
    <w:p w14:paraId="260CFD5B" w14:textId="77777777" w:rsidR="00BE6367" w:rsidRDefault="00BE6367">
      <w:pPr>
        <w:jc w:val="both"/>
        <w:rPr>
          <w:rFonts w:ascii="Arial" w:eastAsia="Arial" w:hAnsi="Arial" w:cs="Arial"/>
          <w:sz w:val="20"/>
          <w:szCs w:val="20"/>
        </w:rPr>
      </w:pPr>
    </w:p>
    <w:p w14:paraId="5B60544A" w14:textId="77777777" w:rsidR="00BE6367" w:rsidRDefault="00C90F6A">
      <w:pPr>
        <w:numPr>
          <w:ilvl w:val="0"/>
          <w:numId w:val="8"/>
        </w:numPr>
        <w:pBdr>
          <w:top w:val="nil"/>
          <w:left w:val="nil"/>
          <w:bottom w:val="nil"/>
          <w:right w:val="nil"/>
          <w:between w:val="nil"/>
        </w:pBdr>
        <w:jc w:val="both"/>
        <w:rPr>
          <w:rFonts w:ascii="Arial" w:eastAsia="Arial" w:hAnsi="Arial" w:cs="Arial"/>
          <w:b/>
          <w:bCs/>
          <w:i/>
          <w:iCs/>
          <w:color w:val="000000"/>
          <w:sz w:val="20"/>
          <w:szCs w:val="20"/>
        </w:rPr>
      </w:pPr>
      <w:r>
        <w:rPr>
          <w:rFonts w:ascii="Arial" w:eastAsia="Arial" w:hAnsi="Arial" w:cs="Arial"/>
          <w:b/>
          <w:bCs/>
          <w:i/>
          <w:iCs/>
          <w:color w:val="000000"/>
          <w:sz w:val="20"/>
          <w:szCs w:val="20"/>
          <w:u w:val="single"/>
        </w:rPr>
        <w:t>Fuente</w:t>
      </w:r>
      <w:r>
        <w:rPr>
          <w:rFonts w:ascii="Arial" w:eastAsia="Arial" w:hAnsi="Arial" w:cs="Arial"/>
          <w:b/>
          <w:bCs/>
          <w:i/>
          <w:iCs/>
          <w:color w:val="000000"/>
          <w:sz w:val="20"/>
          <w:szCs w:val="20"/>
        </w:rPr>
        <w:t xml:space="preserve"> </w:t>
      </w:r>
      <w:r>
        <w:rPr>
          <w:rFonts w:ascii="Arial" w:eastAsia="Arial" w:hAnsi="Arial" w:cs="Arial"/>
          <w:i/>
          <w:iCs/>
          <w:color w:val="000000"/>
          <w:sz w:val="20"/>
          <w:szCs w:val="20"/>
        </w:rPr>
        <w:t xml:space="preserve">Solicitamos respetuosamente a la entidad establecer como requisito una </w:t>
      </w:r>
      <w:r>
        <w:rPr>
          <w:rFonts w:ascii="Arial" w:eastAsia="Arial" w:hAnsi="Arial" w:cs="Arial"/>
          <w:b/>
          <w:bCs/>
          <w:i/>
          <w:iCs/>
          <w:color w:val="000000"/>
          <w:sz w:val="20"/>
          <w:szCs w:val="20"/>
        </w:rPr>
        <w:t>fuente de alimentación con capacidad mínima de 1200 W</w:t>
      </w:r>
      <w:r>
        <w:rPr>
          <w:rFonts w:ascii="Arial" w:eastAsia="Arial" w:hAnsi="Arial" w:cs="Arial"/>
          <w:i/>
          <w:iCs/>
          <w:color w:val="000000"/>
          <w:sz w:val="20"/>
          <w:szCs w:val="20"/>
        </w:rPr>
        <w:t>, considerando que esta potencia resulta adecuada para estaciones de trabajo de alto desempeño equipadas con procesadores de última generación, tarjetas gráficas profesionales, múltiples dispositivos de almacenamiento y demás componentes orientados a cargas de trabajo exigentes.</w:t>
      </w:r>
    </w:p>
    <w:p w14:paraId="198E789F" w14:textId="77777777" w:rsidR="00BE6367" w:rsidRDefault="00C90F6A">
      <w:pPr>
        <w:ind w:left="708"/>
        <w:jc w:val="both"/>
        <w:rPr>
          <w:rFonts w:ascii="Arial" w:eastAsia="Arial" w:hAnsi="Arial" w:cs="Arial"/>
          <w:i/>
          <w:iCs/>
          <w:sz w:val="20"/>
          <w:szCs w:val="20"/>
        </w:rPr>
      </w:pPr>
      <w:r>
        <w:rPr>
          <w:rFonts w:ascii="Arial" w:eastAsia="Arial" w:hAnsi="Arial" w:cs="Arial"/>
          <w:i/>
          <w:iCs/>
          <w:sz w:val="20"/>
          <w:szCs w:val="20"/>
        </w:rPr>
        <w:t>Desde el punto de vista técnico, una fuente de 1200 W proporciona la capacidad energética necesaria para soportar configuraciones avanzadas manteniendo márgenes adecuados de operación, estabilidad eléctrica y posibilidades de crecimiento futuro, sin necesidad de sobredimensionar innecesariamente la plataforma. Adicionalmente, las fuentes de alimentación alcanzan sus mejores niveles de eficiencia cuando operan dentro de rangos óptimos de carga, lo que contribuye a reducir el consumo energético, la generación de calor y los requerimientos de refrigeración, favoreciendo la sostenibilidad y la eficiencia operativa de la solución.</w:t>
      </w:r>
    </w:p>
    <w:p w14:paraId="09B62828" w14:textId="77777777" w:rsidR="00BE6367" w:rsidRDefault="00C90F6A">
      <w:pPr>
        <w:ind w:left="708"/>
        <w:jc w:val="both"/>
        <w:rPr>
          <w:rFonts w:ascii="Arial" w:eastAsia="Arial" w:hAnsi="Arial" w:cs="Arial"/>
          <w:i/>
          <w:iCs/>
          <w:sz w:val="20"/>
          <w:szCs w:val="20"/>
        </w:rPr>
      </w:pPr>
      <w:r>
        <w:rPr>
          <w:rFonts w:ascii="Arial" w:eastAsia="Arial" w:hAnsi="Arial" w:cs="Arial"/>
          <w:i/>
          <w:iCs/>
          <w:sz w:val="20"/>
          <w:szCs w:val="20"/>
        </w:rPr>
        <w:t>De igual forma, es importante señalar que capacidades superiores a 1200 W no representan necesariamente una ventaja funcional para la operación prevista de este tipo de equipos, siempre que la configuración ofertada cuente con los componentes certificados por el fabricante para operar de manera estable y segura. Por el contrario, establecer una capacidad específica superior a la requerida por las necesidades reales de la plataforma puede restringir injustificadamente la participación de fabricantes que cuentan con soluciones plenamente funcionales y ampliamente reconocidas en el mercado.</w:t>
      </w:r>
    </w:p>
    <w:p w14:paraId="2C2F4972" w14:textId="77777777" w:rsidR="00BE6367" w:rsidRDefault="00C90F6A">
      <w:pPr>
        <w:ind w:left="708"/>
        <w:jc w:val="both"/>
        <w:rPr>
          <w:rFonts w:ascii="Arial" w:eastAsia="Arial" w:hAnsi="Arial" w:cs="Arial"/>
          <w:i/>
          <w:iCs/>
          <w:sz w:val="20"/>
          <w:szCs w:val="20"/>
        </w:rPr>
      </w:pPr>
      <w:r>
        <w:rPr>
          <w:rFonts w:ascii="Arial" w:eastAsia="Arial" w:hAnsi="Arial" w:cs="Arial"/>
          <w:i/>
          <w:iCs/>
          <w:sz w:val="20"/>
          <w:szCs w:val="20"/>
        </w:rPr>
        <w:t xml:space="preserve">Por las razones expuestas, solicitamos permitir la presentación de equipos con </w:t>
      </w:r>
      <w:r>
        <w:rPr>
          <w:rFonts w:ascii="Arial" w:eastAsia="Arial" w:hAnsi="Arial" w:cs="Arial"/>
          <w:b/>
          <w:bCs/>
          <w:i/>
          <w:iCs/>
          <w:sz w:val="20"/>
          <w:szCs w:val="20"/>
        </w:rPr>
        <w:t>fuente de alimentación mínima de 1200 W</w:t>
      </w:r>
      <w:r>
        <w:rPr>
          <w:rFonts w:ascii="Arial" w:eastAsia="Arial" w:hAnsi="Arial" w:cs="Arial"/>
          <w:i/>
          <w:iCs/>
          <w:sz w:val="20"/>
          <w:szCs w:val="20"/>
        </w:rPr>
        <w:t>, manteniendo el cumplimiento de las demás especificaciones técnicas exigidas por la entidad, promoviendo así una mayor participación del mercado sin afectar la funcionalidad, estabilidad ni el desempeño esperado de la solución. Lo que están pidiendo está orientado al fabricante Dell y eso limita la participación plural de diferentes fabricantes disponibles en el mercado colombiano</w:t>
      </w:r>
    </w:p>
    <w:p w14:paraId="2D2155C2" w14:textId="77777777" w:rsidR="00BE6367" w:rsidRDefault="00C90F6A">
      <w:pPr>
        <w:pBdr>
          <w:top w:val="nil"/>
          <w:left w:val="nil"/>
          <w:bottom w:val="nil"/>
          <w:right w:val="nil"/>
          <w:between w:val="nil"/>
        </w:pBdr>
        <w:ind w:left="708"/>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72E3C7EB" w14:textId="77777777" w:rsidR="00BE6367" w:rsidRDefault="00C90F6A">
      <w:pPr>
        <w:pBdr>
          <w:top w:val="nil"/>
          <w:left w:val="nil"/>
          <w:bottom w:val="nil"/>
          <w:right w:val="nil"/>
          <w:between w:val="nil"/>
        </w:pBdr>
        <w:ind w:left="708"/>
        <w:jc w:val="both"/>
        <w:rPr>
          <w:rFonts w:ascii="Arial" w:eastAsia="Arial" w:hAnsi="Arial" w:cs="Arial"/>
          <w:sz w:val="20"/>
          <w:szCs w:val="20"/>
        </w:rPr>
      </w:pPr>
      <w:r>
        <w:rPr>
          <w:rFonts w:ascii="Arial" w:eastAsia="Arial" w:hAnsi="Arial" w:cs="Arial"/>
          <w:sz w:val="20"/>
          <w:szCs w:val="20"/>
        </w:rPr>
        <w:t>No se acoge la observación. La exigencia de una fuente de poder de 1450W en la workstation se sustenta en la necesidad de garantizar capacidad real de vatiaje, escalabilidad futura y estabilidad de la configuración actual. Una workstation orientada a cargas profesionales integra procesadores de alto desempeño, memoria ECC, múltiples unidades de almacenamiento y tarjetas gráficas profesionales que elevan significativamente el consumo energético y generan picos de demanda. En escenarios de uso intensivo, no basta con cubrir el consumo promedio; la fuente debe soportar con holgura los picos transitorios para evitar inestabilidad, reinicios o limitaciones de desempeño.</w:t>
      </w:r>
    </w:p>
    <w:p w14:paraId="27797769" w14:textId="77777777" w:rsidR="00BE6367" w:rsidRDefault="00C90F6A">
      <w:pPr>
        <w:pBdr>
          <w:top w:val="nil"/>
          <w:left w:val="nil"/>
          <w:bottom w:val="nil"/>
          <w:right w:val="nil"/>
          <w:between w:val="nil"/>
        </w:pBdr>
        <w:ind w:left="708"/>
        <w:jc w:val="both"/>
        <w:rPr>
          <w:rFonts w:ascii="Arial" w:eastAsia="Arial" w:hAnsi="Arial" w:cs="Arial"/>
          <w:sz w:val="20"/>
          <w:szCs w:val="20"/>
        </w:rPr>
      </w:pPr>
      <w:r>
        <w:rPr>
          <w:rFonts w:ascii="Arial" w:eastAsia="Arial" w:hAnsi="Arial" w:cs="Arial"/>
          <w:sz w:val="20"/>
          <w:szCs w:val="20"/>
        </w:rPr>
        <w:t xml:space="preserve">Asimismo, contar con una fuente de mayor capacidad asegura vigencia tecnológica y escalabilidad, permitiendo ampliaciones de memoria, incorporación de más discos, tarjetas PCIe adicionales o una GPU de mayor consumo sin necesidad de reemplazar el equipo completo, lo que protege la inversión institucional y garantiza continuidad </w:t>
      </w:r>
      <w:r>
        <w:rPr>
          <w:rFonts w:ascii="Arial" w:eastAsia="Arial" w:hAnsi="Arial" w:cs="Arial"/>
          <w:sz w:val="20"/>
          <w:szCs w:val="20"/>
        </w:rPr>
        <w:lastRenderedPageBreak/>
        <w:t>operativa. Una fuente sobredimensionada también trabaja en una zona más cómoda de operación, con menor estrés eléctrico y térmico, favoreciendo la operación continua, la confiabilidad general del sistema y la seguridad, al incluir protecciones contra sobrevoltaje, sobrecorriente, sobretemperatura y cortocircuito.</w:t>
      </w:r>
    </w:p>
    <w:p w14:paraId="79E6C67E" w14:textId="77777777" w:rsidR="00BE6367" w:rsidRDefault="00C90F6A">
      <w:pPr>
        <w:pBdr>
          <w:top w:val="nil"/>
          <w:left w:val="nil"/>
          <w:bottom w:val="nil"/>
          <w:right w:val="nil"/>
          <w:between w:val="nil"/>
        </w:pBdr>
        <w:ind w:left="708"/>
        <w:jc w:val="both"/>
        <w:rPr>
          <w:rFonts w:ascii="Arial" w:eastAsia="Arial" w:hAnsi="Arial" w:cs="Arial"/>
          <w:sz w:val="20"/>
          <w:szCs w:val="20"/>
        </w:rPr>
      </w:pPr>
      <w:r>
        <w:rPr>
          <w:rFonts w:ascii="Arial" w:eastAsia="Arial" w:hAnsi="Arial" w:cs="Arial"/>
          <w:sz w:val="20"/>
          <w:szCs w:val="20"/>
        </w:rPr>
        <w:t>En consecuencia, se mantiene el requisito de fuente de poder de 1450W, dado que constituye un parámetro mínimo indispensable para asegurar el rendimiento, la escalabilidad y la confiabilidad de las workstations en los escenarios de uso previstos por la Entidad.</w:t>
      </w:r>
    </w:p>
    <w:p w14:paraId="2559B754" w14:textId="77777777" w:rsidR="00BE6367" w:rsidRDefault="00C90F6A">
      <w:pPr>
        <w:numPr>
          <w:ilvl w:val="0"/>
          <w:numId w:val="8"/>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b/>
          <w:bCs/>
          <w:i/>
          <w:iCs/>
          <w:color w:val="000000"/>
          <w:sz w:val="20"/>
          <w:szCs w:val="20"/>
          <w:u w:val="single"/>
        </w:rPr>
        <w:t>Teclado</w:t>
      </w:r>
      <w:r>
        <w:rPr>
          <w:rFonts w:ascii="Arial" w:eastAsia="Arial" w:hAnsi="Arial" w:cs="Arial"/>
          <w:b/>
          <w:bCs/>
          <w:i/>
          <w:iCs/>
          <w:color w:val="000000"/>
          <w:sz w:val="20"/>
          <w:szCs w:val="20"/>
        </w:rPr>
        <w:t xml:space="preserve"> </w:t>
      </w:r>
      <w:r>
        <w:rPr>
          <w:rFonts w:ascii="Arial" w:eastAsia="Arial" w:hAnsi="Arial" w:cs="Arial"/>
          <w:i/>
          <w:iCs/>
          <w:color w:val="000000"/>
          <w:sz w:val="20"/>
          <w:szCs w:val="20"/>
        </w:rPr>
        <w:t>Solicitamos amablemente se indique teclado de la misma marca del fabricante, ya que las características que se indica no son cumplibles por las opciones estándar para las plataformas Workstation Corporativas. Si se requiere que sea un teclado pensado para video juegos, sugerimos se solicite como accesorio ya que no se posible cumplir por los fabricantes con las especificaciones indicadas. Lo que están pidiendo es solo lo está cumpliendo a cabalidad el fabricante Dell y eso limita la participación plural de diferentes fabricantes disponibles en el mercado colombiano.</w:t>
      </w:r>
    </w:p>
    <w:p w14:paraId="7DDAC630" w14:textId="77777777" w:rsidR="00BE6367" w:rsidRDefault="00BE6367">
      <w:pPr>
        <w:pBdr>
          <w:top w:val="nil"/>
          <w:left w:val="nil"/>
          <w:bottom w:val="nil"/>
          <w:right w:val="nil"/>
          <w:between w:val="nil"/>
        </w:pBdr>
        <w:spacing w:after="0"/>
        <w:ind w:left="720"/>
        <w:jc w:val="both"/>
        <w:rPr>
          <w:rFonts w:ascii="Arial" w:eastAsia="Arial" w:hAnsi="Arial" w:cs="Arial"/>
          <w:i/>
          <w:iCs/>
          <w:color w:val="000000"/>
          <w:sz w:val="20"/>
          <w:szCs w:val="20"/>
        </w:rPr>
      </w:pPr>
    </w:p>
    <w:p w14:paraId="4CF213E0" w14:textId="77777777" w:rsidR="00BE6367" w:rsidRDefault="00C90F6A">
      <w:pPr>
        <w:pBdr>
          <w:top w:val="nil"/>
          <w:left w:val="nil"/>
          <w:bottom w:val="nil"/>
          <w:right w:val="nil"/>
          <w:between w:val="nil"/>
        </w:pBdr>
        <w:spacing w:after="0"/>
        <w:ind w:left="720"/>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w:t>
      </w:r>
    </w:p>
    <w:p w14:paraId="7DF15CB3" w14:textId="77777777" w:rsidR="00BE6367" w:rsidRDefault="00BE6367">
      <w:pPr>
        <w:pBdr>
          <w:top w:val="nil"/>
          <w:left w:val="nil"/>
          <w:bottom w:val="nil"/>
          <w:right w:val="nil"/>
          <w:between w:val="nil"/>
        </w:pBdr>
        <w:spacing w:after="0"/>
        <w:ind w:left="720"/>
        <w:jc w:val="both"/>
        <w:rPr>
          <w:rFonts w:ascii="Arial" w:eastAsia="Arial" w:hAnsi="Arial" w:cs="Arial"/>
          <w:sz w:val="20"/>
          <w:szCs w:val="20"/>
        </w:rPr>
      </w:pPr>
    </w:p>
    <w:p w14:paraId="2F7E478C" w14:textId="77777777" w:rsidR="00BE6367" w:rsidRDefault="00C90F6A">
      <w:pPr>
        <w:pBdr>
          <w:top w:val="nil"/>
          <w:left w:val="nil"/>
          <w:bottom w:val="nil"/>
          <w:right w:val="nil"/>
          <w:between w:val="nil"/>
        </w:pBdr>
        <w:spacing w:after="0"/>
        <w:ind w:left="720"/>
        <w:jc w:val="both"/>
        <w:rPr>
          <w:rFonts w:ascii="Arial" w:eastAsia="Arial" w:hAnsi="Arial" w:cs="Arial"/>
          <w:color w:val="000000"/>
          <w:sz w:val="20"/>
          <w:szCs w:val="20"/>
        </w:rPr>
      </w:pPr>
      <w:r>
        <w:rPr>
          <w:rFonts w:ascii="Arial" w:eastAsia="Arial" w:hAnsi="Arial" w:cs="Arial"/>
          <w:color w:val="000000"/>
          <w:sz w:val="20"/>
          <w:szCs w:val="20"/>
        </w:rPr>
        <w:t>No se acepta la observación, teniendo en cuenta que los requisitos definidos corresponden a parámetros mínimos orientados a cubrir las necesidades actuales de los usuarios, sin que ello implique la obligación de que los accesorios provengan de una marca específica. Las especificaciones solicitadas son de libre cumplimiento en el mercado y pueden ser atendidas por diferentes fabricantes, garantizando que los equipos respondan adecuadamente a los perfiles de uso previstos por la entidad. No obstante se suprime el requisito de periféricos “Gaming”.</w:t>
      </w:r>
    </w:p>
    <w:p w14:paraId="1A8B9DE7" w14:textId="77777777" w:rsidR="00BE6367" w:rsidRDefault="00BE6367">
      <w:pPr>
        <w:pBdr>
          <w:top w:val="nil"/>
          <w:left w:val="nil"/>
          <w:bottom w:val="nil"/>
          <w:right w:val="nil"/>
          <w:between w:val="nil"/>
        </w:pBdr>
        <w:spacing w:after="0"/>
        <w:ind w:left="720"/>
        <w:jc w:val="both"/>
        <w:rPr>
          <w:rFonts w:ascii="Arial" w:eastAsia="Arial" w:hAnsi="Arial" w:cs="Arial"/>
          <w:color w:val="000000"/>
          <w:sz w:val="20"/>
          <w:szCs w:val="20"/>
        </w:rPr>
      </w:pPr>
    </w:p>
    <w:p w14:paraId="79356ACD" w14:textId="77777777" w:rsidR="00BE6367" w:rsidRDefault="00C90F6A">
      <w:pPr>
        <w:numPr>
          <w:ilvl w:val="0"/>
          <w:numId w:val="8"/>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b/>
          <w:bCs/>
          <w:i/>
          <w:iCs/>
          <w:color w:val="000000"/>
          <w:sz w:val="20"/>
          <w:szCs w:val="20"/>
          <w:u w:val="single"/>
        </w:rPr>
        <w:t xml:space="preserve">Mouse </w:t>
      </w:r>
      <w:r>
        <w:rPr>
          <w:rFonts w:ascii="Arial" w:eastAsia="Arial" w:hAnsi="Arial" w:cs="Arial"/>
          <w:i/>
          <w:iCs/>
          <w:color w:val="000000"/>
          <w:sz w:val="20"/>
          <w:szCs w:val="20"/>
        </w:rPr>
        <w:t>Solicitamos amablemente se indique teclado de la misma marca del fabricante, ya que las características que se indica no son cumplibles por las opciones estándar para las plataformas Workstation Corporativas. Si se requiere que sea un mouse pensado para video juegos, sugerimos se solicite como accesorio ya que no se posible cumplir por los fabricantes con las especificaciones indicadas.</w:t>
      </w:r>
      <w:r>
        <w:rPr>
          <w:rFonts w:ascii="Arial" w:eastAsia="Arial" w:hAnsi="Arial" w:cs="Arial"/>
          <w:color w:val="000000"/>
          <w:sz w:val="20"/>
          <w:szCs w:val="20"/>
        </w:rPr>
        <w:t xml:space="preserve"> </w:t>
      </w:r>
      <w:r>
        <w:rPr>
          <w:rFonts w:ascii="Arial" w:eastAsia="Arial" w:hAnsi="Arial" w:cs="Arial"/>
          <w:i/>
          <w:iCs/>
          <w:color w:val="000000"/>
          <w:sz w:val="20"/>
          <w:szCs w:val="20"/>
        </w:rPr>
        <w:t>Lo que están pidiendo es solo lo está cumpliendo a cabalidad el fabricante Dell y eso limita la participación plural de diferentes fabricantes disponibles en el mercado colombiano.</w:t>
      </w:r>
    </w:p>
    <w:p w14:paraId="114F2A0B" w14:textId="77777777" w:rsidR="00BE6367" w:rsidRDefault="00BE6367">
      <w:pPr>
        <w:pBdr>
          <w:top w:val="nil"/>
          <w:left w:val="nil"/>
          <w:bottom w:val="nil"/>
          <w:right w:val="nil"/>
          <w:between w:val="nil"/>
        </w:pBdr>
        <w:ind w:left="720"/>
        <w:jc w:val="both"/>
        <w:rPr>
          <w:rFonts w:ascii="Arial" w:eastAsia="Arial" w:hAnsi="Arial" w:cs="Arial"/>
          <w:b/>
          <w:bCs/>
          <w:i/>
          <w:iCs/>
          <w:color w:val="000000"/>
          <w:sz w:val="20"/>
          <w:szCs w:val="20"/>
          <w:u w:val="single"/>
        </w:rPr>
      </w:pPr>
    </w:p>
    <w:p w14:paraId="250CAD4F" w14:textId="77777777" w:rsidR="00BE6367" w:rsidRDefault="00C90F6A">
      <w:pPr>
        <w:shd w:val="clear" w:color="auto" w:fill="FFFFFF"/>
        <w:ind w:left="720"/>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726163D9" w14:textId="77777777" w:rsidR="00BE6367" w:rsidRDefault="00C90F6A">
      <w:pPr>
        <w:shd w:val="clear" w:color="auto" w:fill="FFFFFF"/>
        <w:ind w:left="720"/>
        <w:jc w:val="both"/>
        <w:rPr>
          <w:rFonts w:ascii="Arial" w:eastAsia="Arial" w:hAnsi="Arial" w:cs="Arial"/>
          <w:sz w:val="20"/>
          <w:szCs w:val="20"/>
        </w:rPr>
      </w:pPr>
      <w:r>
        <w:rPr>
          <w:rFonts w:ascii="Arial" w:eastAsia="Arial" w:hAnsi="Arial" w:cs="Arial"/>
          <w:sz w:val="20"/>
          <w:szCs w:val="20"/>
        </w:rPr>
        <w:t>No se acepta la observación, teniendo en cuenta que los requisitos definidos corresponden a parámetros mínimos orientados a cubrir las necesidades actuales de los usuarios, sin que ello implique la obligación de que los accesorios provengan de una marca específica. Las especificaciones solicitadas son de libre cumplimiento en el mercado y pueden ser atendidas por diferentes fabricantes, garantizando que los equipos respondan adecuadamente a los perfiles de uso previstos por la entidad. No obstante se suprime el requisito de periféricos “Gaming”.</w:t>
      </w:r>
    </w:p>
    <w:p w14:paraId="1D4065DC" w14:textId="77777777" w:rsidR="00BE6367" w:rsidRDefault="00BE6367">
      <w:pPr>
        <w:pBdr>
          <w:top w:val="nil"/>
          <w:left w:val="nil"/>
          <w:bottom w:val="nil"/>
          <w:right w:val="nil"/>
          <w:between w:val="nil"/>
        </w:pBdr>
        <w:spacing w:after="0"/>
        <w:ind w:left="720"/>
        <w:jc w:val="both"/>
        <w:rPr>
          <w:rFonts w:ascii="Arial" w:eastAsia="Arial" w:hAnsi="Arial" w:cs="Arial"/>
          <w:b/>
          <w:bCs/>
          <w:i/>
          <w:iCs/>
          <w:color w:val="000000"/>
          <w:sz w:val="20"/>
          <w:szCs w:val="20"/>
          <w:u w:val="single"/>
        </w:rPr>
      </w:pPr>
    </w:p>
    <w:p w14:paraId="4A905D4C" w14:textId="77777777" w:rsidR="00BE6367" w:rsidRDefault="00C90F6A">
      <w:pPr>
        <w:numPr>
          <w:ilvl w:val="0"/>
          <w:numId w:val="8"/>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b/>
          <w:bCs/>
          <w:i/>
          <w:iCs/>
          <w:color w:val="000000"/>
          <w:sz w:val="20"/>
          <w:szCs w:val="20"/>
          <w:u w:val="single"/>
        </w:rPr>
        <w:t xml:space="preserve">Puertos USB </w:t>
      </w:r>
      <w:r>
        <w:rPr>
          <w:rFonts w:ascii="Arial" w:eastAsia="Arial" w:hAnsi="Arial" w:cs="Arial"/>
          <w:i/>
          <w:iCs/>
          <w:color w:val="000000"/>
          <w:sz w:val="20"/>
          <w:szCs w:val="20"/>
        </w:rPr>
        <w:t xml:space="preserve">Solicitamos que para los puestos USB-C se soliciten mínimo 10 puertos de los cuales al menos 2 puertos sean USB-C 3.2 Gen 2 2X2, 6 USB -A 10Gbps y 2 USB-A 2.0, este es el estándar del mercado usado para la conexión de periféricos y accesorios de última generación, permitiendo el apoyo requerido para los usuarios de estas plataformas. EL mantener el requerimiento como se indica, esta haciendo clara </w:t>
      </w:r>
      <w:r>
        <w:rPr>
          <w:rFonts w:ascii="Arial" w:eastAsia="Arial" w:hAnsi="Arial" w:cs="Arial"/>
          <w:i/>
          <w:iCs/>
          <w:color w:val="000000"/>
          <w:sz w:val="20"/>
          <w:szCs w:val="20"/>
        </w:rPr>
        <w:lastRenderedPageBreak/>
        <w:t>referencia a un solo fabricante que cumple con las especificaciones de puertos indicados en la ficha técnica.</w:t>
      </w:r>
    </w:p>
    <w:p w14:paraId="1F58052D" w14:textId="77777777" w:rsidR="00BE6367" w:rsidRDefault="00BE6367">
      <w:pPr>
        <w:pBdr>
          <w:top w:val="nil"/>
          <w:left w:val="nil"/>
          <w:bottom w:val="nil"/>
          <w:right w:val="nil"/>
          <w:between w:val="nil"/>
        </w:pBdr>
        <w:spacing w:after="0"/>
        <w:ind w:left="720"/>
        <w:jc w:val="both"/>
        <w:rPr>
          <w:rFonts w:ascii="Arial" w:eastAsia="Arial" w:hAnsi="Arial" w:cs="Arial"/>
          <w:i/>
          <w:iCs/>
          <w:color w:val="000000"/>
          <w:sz w:val="20"/>
          <w:szCs w:val="20"/>
        </w:rPr>
      </w:pPr>
    </w:p>
    <w:p w14:paraId="0ECB5DA7" w14:textId="77777777" w:rsidR="00BE6367" w:rsidRDefault="00C90F6A">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b/>
          <w:bCs/>
          <w:sz w:val="20"/>
          <w:szCs w:val="20"/>
        </w:rPr>
        <w:t>RESPUESTA A OBSERVACIÓN</w:t>
      </w:r>
      <w:r>
        <w:rPr>
          <w:rFonts w:ascii="Arial" w:eastAsia="Arial" w:hAnsi="Arial" w:cs="Arial"/>
          <w:sz w:val="20"/>
          <w:szCs w:val="20"/>
        </w:rPr>
        <w:t>:</w:t>
      </w:r>
      <w:r>
        <w:rPr>
          <w:rFonts w:ascii="Arial" w:eastAsia="Arial" w:hAnsi="Arial" w:cs="Arial"/>
          <w:color w:val="000000"/>
          <w:sz w:val="20"/>
          <w:szCs w:val="20"/>
        </w:rPr>
        <w:t xml:space="preserve"> </w:t>
      </w:r>
    </w:p>
    <w:p w14:paraId="2AD47C07" w14:textId="77777777" w:rsidR="00BE6367" w:rsidRDefault="00C90F6A">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No se acoge la observación, toda vez que los puertos solicitados corresponden a los mínimos requeridos para el adecuado desarrollo de las labores de los usuarios, según lo definido en la ficha técnica. Se precisa que equipos con un mayor número de puertos o con características superiores serán igualmente admitidos, siempre que cumplan con dichos mínimos, garantizando así la funcionalidad, desempeño y vigencia tecnológica del producto.</w:t>
      </w:r>
    </w:p>
    <w:p w14:paraId="34A6E066" w14:textId="77777777" w:rsidR="00BE6367" w:rsidRDefault="00BE6367">
      <w:pPr>
        <w:jc w:val="both"/>
        <w:rPr>
          <w:rFonts w:ascii="Arial" w:eastAsia="Arial" w:hAnsi="Arial" w:cs="Arial"/>
          <w:sz w:val="20"/>
          <w:szCs w:val="20"/>
        </w:rPr>
      </w:pPr>
    </w:p>
    <w:p w14:paraId="00FB8A51" w14:textId="77777777" w:rsidR="00BE6367" w:rsidRDefault="00C90F6A">
      <w:pPr>
        <w:spacing w:before="120"/>
        <w:jc w:val="both"/>
        <w:rPr>
          <w:rFonts w:ascii="Arial" w:eastAsia="Arial" w:hAnsi="Arial" w:cs="Arial"/>
          <w:b/>
          <w:bCs/>
          <w:sz w:val="20"/>
          <w:szCs w:val="20"/>
        </w:rPr>
      </w:pPr>
      <w:r>
        <w:rPr>
          <w:rFonts w:ascii="Arial" w:eastAsia="Arial" w:hAnsi="Arial" w:cs="Arial"/>
          <w:b/>
          <w:bCs/>
          <w:sz w:val="20"/>
          <w:szCs w:val="20"/>
        </w:rPr>
        <w:t>OBSERVACIÓN 6.</w:t>
      </w:r>
    </w:p>
    <w:p w14:paraId="4CF5F00F" w14:textId="77777777" w:rsidR="00BE6367" w:rsidRDefault="00C90F6A">
      <w:pPr>
        <w:jc w:val="both"/>
        <w:rPr>
          <w:rFonts w:ascii="Arial" w:eastAsia="Arial" w:hAnsi="Arial" w:cs="Arial"/>
          <w:i/>
          <w:iCs/>
          <w:sz w:val="20"/>
          <w:szCs w:val="20"/>
          <w:u w:val="single"/>
        </w:rPr>
      </w:pPr>
      <w:r>
        <w:rPr>
          <w:rFonts w:ascii="Arial" w:eastAsia="Arial" w:hAnsi="Arial" w:cs="Arial"/>
          <w:i/>
          <w:iCs/>
          <w:sz w:val="20"/>
          <w:szCs w:val="20"/>
          <w:u w:val="single"/>
        </w:rPr>
        <w:t>MONITOR PARA EQUIPOS DE COMPUTO</w:t>
      </w:r>
    </w:p>
    <w:p w14:paraId="120756DB" w14:textId="77777777" w:rsidR="00BE6367" w:rsidRDefault="00C90F6A">
      <w:pPr>
        <w:numPr>
          <w:ilvl w:val="0"/>
          <w:numId w:val="9"/>
        </w:numPr>
        <w:pBdr>
          <w:top w:val="nil"/>
          <w:left w:val="nil"/>
          <w:bottom w:val="nil"/>
          <w:right w:val="nil"/>
          <w:between w:val="nil"/>
        </w:pBdr>
        <w:spacing w:after="0"/>
        <w:jc w:val="both"/>
        <w:rPr>
          <w:rFonts w:ascii="Arial" w:eastAsia="Arial" w:hAnsi="Arial" w:cs="Arial"/>
          <w:i/>
          <w:iCs/>
          <w:color w:val="000000"/>
          <w:sz w:val="20"/>
          <w:szCs w:val="20"/>
        </w:rPr>
      </w:pPr>
      <w:r>
        <w:rPr>
          <w:rFonts w:ascii="Arial" w:eastAsia="Arial" w:hAnsi="Arial" w:cs="Arial"/>
          <w:b/>
          <w:bCs/>
          <w:i/>
          <w:iCs/>
          <w:color w:val="000000"/>
          <w:sz w:val="20"/>
          <w:szCs w:val="20"/>
          <w:u w:val="single"/>
        </w:rPr>
        <w:t>Puertos.</w:t>
      </w:r>
      <w:r>
        <w:rPr>
          <w:rFonts w:ascii="Arial" w:eastAsia="Arial" w:hAnsi="Arial" w:cs="Arial"/>
          <w:i/>
          <w:iCs/>
          <w:color w:val="000000"/>
          <w:sz w:val="20"/>
          <w:szCs w:val="20"/>
        </w:rPr>
        <w:t xml:space="preserve"> Se solicita se permita que la oferta del puerto VGA sea opcional, el estándar del mercado ha dejado de ofertar este puerto ya que las plataformas corporativas cuentan con puertos HDMI o Display Port como fuentes de salida de video, por lo tanto, se ha dejado de usar el puerto VGA. Recomendamos solicitar mínimo puerto HDMI o Display Port. Lo solicitado está orientado al mismo fabricante Dell.</w:t>
      </w:r>
    </w:p>
    <w:p w14:paraId="3E9BC19C" w14:textId="77777777" w:rsidR="00BE6367" w:rsidRDefault="00BE6367">
      <w:pPr>
        <w:pBdr>
          <w:top w:val="nil"/>
          <w:left w:val="nil"/>
          <w:bottom w:val="nil"/>
          <w:right w:val="nil"/>
          <w:between w:val="nil"/>
        </w:pBdr>
        <w:spacing w:after="0"/>
        <w:jc w:val="both"/>
        <w:rPr>
          <w:rFonts w:ascii="Arial" w:eastAsia="Arial" w:hAnsi="Arial" w:cs="Arial"/>
          <w:i/>
          <w:iCs/>
          <w:sz w:val="20"/>
          <w:szCs w:val="20"/>
        </w:rPr>
      </w:pPr>
    </w:p>
    <w:p w14:paraId="785F6465" w14:textId="77777777" w:rsidR="00BE6367" w:rsidRDefault="00C90F6A">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r>
        <w:rPr>
          <w:rFonts w:ascii="Arial" w:eastAsia="Arial" w:hAnsi="Arial" w:cs="Arial"/>
          <w:color w:val="000000"/>
          <w:sz w:val="20"/>
          <w:szCs w:val="20"/>
        </w:rPr>
        <w:t xml:space="preserve"> </w:t>
      </w:r>
    </w:p>
    <w:p w14:paraId="7E9B7804" w14:textId="77777777" w:rsidR="00BE6367" w:rsidRDefault="00C90F6A">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Se acepta la observación y, en consecuencia, se modifica el requerimiento estableciendo que el puerto VGA será de carácter opcional en los monitores destinados a equipos de PC. Esto se define teniendo en cuenta que actualmente las plataformas corporativas utilizan principalmente conexiones HDMI, y que existe disponibilidad en el mercado de diferentes fabricantes que aún ofrecen equipos con este tipo de puerto.</w:t>
      </w:r>
    </w:p>
    <w:p w14:paraId="2D581F13" w14:textId="77777777" w:rsidR="00BE6367" w:rsidRDefault="00BE6367">
      <w:pPr>
        <w:jc w:val="both"/>
        <w:rPr>
          <w:rFonts w:ascii="Arial" w:eastAsia="Arial" w:hAnsi="Arial" w:cs="Arial"/>
          <w:i/>
          <w:iCs/>
          <w:sz w:val="20"/>
          <w:szCs w:val="20"/>
        </w:rPr>
      </w:pPr>
    </w:p>
    <w:p w14:paraId="28ACEBDA" w14:textId="77777777" w:rsidR="00BE6367" w:rsidRDefault="00C90F6A">
      <w:pPr>
        <w:spacing w:before="120"/>
        <w:jc w:val="both"/>
        <w:rPr>
          <w:rFonts w:ascii="Arial" w:eastAsia="Arial" w:hAnsi="Arial" w:cs="Arial"/>
          <w:b/>
          <w:bCs/>
          <w:sz w:val="20"/>
          <w:szCs w:val="20"/>
        </w:rPr>
      </w:pPr>
      <w:r>
        <w:rPr>
          <w:rFonts w:ascii="Arial" w:eastAsia="Arial" w:hAnsi="Arial" w:cs="Arial"/>
          <w:b/>
          <w:bCs/>
          <w:sz w:val="20"/>
          <w:szCs w:val="20"/>
        </w:rPr>
        <w:t>OBSERVACIÓN 7.</w:t>
      </w:r>
    </w:p>
    <w:p w14:paraId="0CE0DCC5" w14:textId="77777777" w:rsidR="00BE6367" w:rsidRDefault="00C90F6A">
      <w:pPr>
        <w:jc w:val="both"/>
        <w:rPr>
          <w:rFonts w:ascii="Arial" w:eastAsia="Arial" w:hAnsi="Arial" w:cs="Arial"/>
          <w:b/>
          <w:bCs/>
          <w:i/>
          <w:iCs/>
          <w:sz w:val="20"/>
          <w:szCs w:val="20"/>
          <w:u w:val="single"/>
        </w:rPr>
      </w:pPr>
      <w:r>
        <w:rPr>
          <w:rFonts w:ascii="Arial" w:eastAsia="Arial" w:hAnsi="Arial" w:cs="Arial"/>
          <w:b/>
          <w:bCs/>
          <w:i/>
          <w:iCs/>
          <w:sz w:val="20"/>
          <w:szCs w:val="20"/>
          <w:u w:val="single"/>
        </w:rPr>
        <w:t>SOLUCIÓN AUDIOVISUAL A NIVEL GENERAL</w:t>
      </w:r>
    </w:p>
    <w:p w14:paraId="29822B7D" w14:textId="77777777" w:rsidR="00BE6367" w:rsidRDefault="00C90F6A">
      <w:pPr>
        <w:numPr>
          <w:ilvl w:val="0"/>
          <w:numId w:val="10"/>
        </w:numPr>
        <w:spacing w:before="120" w:after="0" w:line="240" w:lineRule="auto"/>
        <w:jc w:val="both"/>
        <w:rPr>
          <w:rFonts w:ascii="Arial" w:eastAsia="Arial" w:hAnsi="Arial" w:cs="Arial"/>
          <w:i/>
          <w:iCs/>
          <w:sz w:val="20"/>
          <w:szCs w:val="20"/>
        </w:rPr>
      </w:pPr>
      <w:r>
        <w:rPr>
          <w:rFonts w:ascii="Arial" w:eastAsia="Arial" w:hAnsi="Arial" w:cs="Arial"/>
          <w:i/>
          <w:iCs/>
          <w:sz w:val="20"/>
          <w:szCs w:val="20"/>
        </w:rPr>
        <w:t>¿Cuál es la ubicación exacta de las 60 salas o espacios donde se instalarán los componentes de audiencias y videoconferencia?</w:t>
      </w:r>
    </w:p>
    <w:p w14:paraId="01CB1D8D"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6839541B"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 xml:space="preserve">Las 60 salas y la sala de audiencias se encuentran ubicadas en la ciudad de Bogotá, distribuidas en las sedes de la Entidad </w:t>
      </w:r>
    </w:p>
    <w:p w14:paraId="7A5C7E41" w14:textId="77777777" w:rsidR="00BE6367" w:rsidRPr="00AA7016" w:rsidRDefault="00C90F6A">
      <w:pPr>
        <w:numPr>
          <w:ilvl w:val="0"/>
          <w:numId w:val="10"/>
        </w:numPr>
        <w:spacing w:before="120" w:after="0" w:line="240" w:lineRule="auto"/>
        <w:jc w:val="both"/>
        <w:rPr>
          <w:rFonts w:ascii="Arial" w:eastAsia="Arial" w:hAnsi="Arial" w:cs="Arial"/>
          <w:i/>
          <w:iCs/>
          <w:sz w:val="20"/>
          <w:szCs w:val="20"/>
          <w:lang w:val="pt-PT"/>
        </w:rPr>
      </w:pPr>
      <w:r w:rsidRPr="00AA7016">
        <w:rPr>
          <w:rFonts w:ascii="Arial" w:eastAsia="Arial" w:hAnsi="Arial" w:cs="Arial"/>
          <w:i/>
          <w:iCs/>
          <w:sz w:val="20"/>
          <w:szCs w:val="20"/>
          <w:lang w:val="pt-PT"/>
        </w:rPr>
        <w:t>¿Existe plano arquitectónico, plano de mobiliario y plano eléctrico de cada sala?</w:t>
      </w:r>
    </w:p>
    <w:p w14:paraId="49646A6A"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2C534671"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Si existen los planos solicitados. No obstante, teniendo en cuenta que dichos documentos contienen información técnica detallada sobre la distribución interna, las instalaciones eléctricas y la infraestructura física de las sedes, su divulgación pública podría generar riesgos para la seguridad de las instalaciones, de los funcionarios y de los usuarios.</w:t>
      </w:r>
    </w:p>
    <w:p w14:paraId="11C2200A"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 xml:space="preserve">En consecuencia, los planos serán suministrados al comitente vendedor que resulte seleccionado, una vez formalizada la negociación, bajo las condiciones de manejo, custodia, uso restringido y confidencialidad que determine la Entidad. La información entregada deberá ser utilizada exclusivamente para la ejecución del objeto contractual y no podrá ser divulgada, </w:t>
      </w:r>
      <w:r>
        <w:rPr>
          <w:rFonts w:ascii="Arial" w:eastAsia="Arial" w:hAnsi="Arial" w:cs="Arial"/>
          <w:sz w:val="20"/>
          <w:szCs w:val="20"/>
        </w:rPr>
        <w:lastRenderedPageBreak/>
        <w:t>reproducida ni empleada para finalidades distintas sin autorización previa y expresa de la Entidad.</w:t>
      </w:r>
    </w:p>
    <w:p w14:paraId="5F53E1F1"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Sin perjuicio de lo anterior, la Ficha Técnica de Negociación y Ficha Técnica de Producto, contiene la información técnica suficiente para que los interesados estructuren sus propuestas en condiciones de igualdad.</w:t>
      </w:r>
    </w:p>
    <w:p w14:paraId="300FD13D" w14:textId="77777777" w:rsidR="00BE6367" w:rsidRDefault="00C90F6A">
      <w:pPr>
        <w:numPr>
          <w:ilvl w:val="0"/>
          <w:numId w:val="10"/>
        </w:numPr>
        <w:spacing w:before="120" w:after="0" w:line="240" w:lineRule="auto"/>
        <w:jc w:val="both"/>
        <w:rPr>
          <w:rFonts w:ascii="Arial" w:eastAsia="Arial" w:hAnsi="Arial" w:cs="Arial"/>
          <w:i/>
          <w:iCs/>
          <w:sz w:val="20"/>
          <w:szCs w:val="20"/>
        </w:rPr>
      </w:pPr>
      <w:r>
        <w:rPr>
          <w:rFonts w:ascii="Arial" w:eastAsia="Arial" w:hAnsi="Arial" w:cs="Arial"/>
          <w:i/>
          <w:iCs/>
          <w:sz w:val="20"/>
          <w:szCs w:val="20"/>
        </w:rPr>
        <w:t>Se solicita visita técnica a las Salas en la ciudad de Bogotá, para estimar el cableado, accesorios a utilizar</w:t>
      </w:r>
    </w:p>
    <w:p w14:paraId="69DAE035"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No se acepta la solicitud de realizar una visita técnica a las salas ubicadas en la ciudad de Bogotá.</w:t>
      </w:r>
    </w:p>
    <w:p w14:paraId="0CD8434C"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La Entidad considera que la información contenida en la Ficha Técnica de Negociación, Ficha Técnica de Producto y en los demás documentos del proceso resulta suficiente para que los interesados estructuren su propuesta técnica y económica, incluyendo la estimación del cableado, conectores, canalizaciones, accesorios y demás elementos necesarios para la correcta instalación y puesta en funcionamiento de las soluciones requeridas.</w:t>
      </w:r>
    </w:p>
    <w:p w14:paraId="5F9A7F9E"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 xml:space="preserve">En consecuencia, corresponde a cada comitente vendedor efectuar, con base en su experiencia, conocimiento técnico y metodología de implementación, las estimaciones necesarias para garantizar el cumplimiento integral del objeto de la negociación. </w:t>
      </w:r>
    </w:p>
    <w:p w14:paraId="451EB567"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Adicionalmente, por razones de seguridad y control de acceso a las instalaciones institucionales, no se considera procedente autorizar visitas técnicas durante la etapa de selección. Los planos y la información técnica detallada de las salas serán suministrados al comitente vendedor que resulte seleccionado, bajo las condiciones de uso, manejo y confidencialidad establecidas por la Entidad.</w:t>
      </w:r>
    </w:p>
    <w:p w14:paraId="46220490" w14:textId="77777777" w:rsidR="00BE6367" w:rsidRDefault="00BE6367">
      <w:pPr>
        <w:spacing w:before="120" w:after="0" w:line="240" w:lineRule="auto"/>
        <w:jc w:val="both"/>
        <w:rPr>
          <w:rFonts w:ascii="Arial" w:eastAsia="Arial" w:hAnsi="Arial" w:cs="Arial"/>
          <w:i/>
          <w:iCs/>
          <w:sz w:val="20"/>
          <w:szCs w:val="20"/>
        </w:rPr>
      </w:pPr>
    </w:p>
    <w:p w14:paraId="2215E17B" w14:textId="77777777" w:rsidR="00BE6367" w:rsidRDefault="00C90F6A">
      <w:pPr>
        <w:numPr>
          <w:ilvl w:val="0"/>
          <w:numId w:val="10"/>
        </w:numPr>
        <w:spacing w:before="120" w:after="0" w:line="240" w:lineRule="auto"/>
        <w:jc w:val="both"/>
        <w:rPr>
          <w:rFonts w:ascii="Arial" w:eastAsia="Arial" w:hAnsi="Arial" w:cs="Arial"/>
          <w:i/>
          <w:iCs/>
          <w:sz w:val="20"/>
          <w:szCs w:val="20"/>
        </w:rPr>
      </w:pPr>
      <w:r>
        <w:rPr>
          <w:rFonts w:ascii="Arial" w:eastAsia="Arial" w:hAnsi="Arial" w:cs="Arial"/>
          <w:i/>
          <w:iCs/>
          <w:sz w:val="20"/>
          <w:szCs w:val="20"/>
        </w:rPr>
        <w:t>¿En qué horario se puede hacer la instalación de cada sala?</w:t>
      </w:r>
    </w:p>
    <w:p w14:paraId="3C77E501" w14:textId="77777777" w:rsidR="00BE6367" w:rsidRDefault="00BE6367">
      <w:pPr>
        <w:spacing w:before="120" w:after="0" w:line="240" w:lineRule="auto"/>
        <w:ind w:left="720"/>
        <w:jc w:val="both"/>
        <w:rPr>
          <w:rFonts w:ascii="Arial" w:eastAsia="Arial" w:hAnsi="Arial" w:cs="Arial"/>
          <w:i/>
          <w:iCs/>
          <w:sz w:val="20"/>
          <w:szCs w:val="20"/>
        </w:rPr>
      </w:pPr>
    </w:p>
    <w:p w14:paraId="5E992F7A"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La instalación deberá adelantarse en el horario necesario, considerando que se trata de espacios en funcionamiento administrativo y jurisdiccional. En todo caso, el contratista deberá presentar un cronograma de instalación, sujeto a aprobación de la supervisión, que garantice la entrega de la totalidad de las salas dentro del plazo de ejecución contractual, bajo el esquema de proyecto llave en mano. </w:t>
      </w:r>
    </w:p>
    <w:p w14:paraId="35BF4C8A" w14:textId="77777777" w:rsidR="00BE6367" w:rsidRDefault="00BE6367">
      <w:pPr>
        <w:spacing w:before="120" w:after="0" w:line="240" w:lineRule="auto"/>
        <w:jc w:val="both"/>
        <w:rPr>
          <w:rFonts w:ascii="Arial" w:eastAsia="Arial" w:hAnsi="Arial" w:cs="Arial"/>
          <w:i/>
          <w:iCs/>
          <w:sz w:val="20"/>
          <w:szCs w:val="20"/>
        </w:rPr>
      </w:pPr>
    </w:p>
    <w:p w14:paraId="06E80F38" w14:textId="77777777" w:rsidR="00BE6367" w:rsidRDefault="00C90F6A">
      <w:pPr>
        <w:numPr>
          <w:ilvl w:val="0"/>
          <w:numId w:val="10"/>
        </w:numPr>
        <w:spacing w:before="120" w:after="0" w:line="240" w:lineRule="auto"/>
        <w:jc w:val="both"/>
        <w:rPr>
          <w:rFonts w:ascii="Arial" w:eastAsia="Arial" w:hAnsi="Arial" w:cs="Arial"/>
          <w:i/>
          <w:iCs/>
          <w:sz w:val="20"/>
          <w:szCs w:val="20"/>
        </w:rPr>
      </w:pPr>
      <w:r>
        <w:rPr>
          <w:rFonts w:ascii="Arial" w:eastAsia="Arial" w:hAnsi="Arial" w:cs="Arial"/>
          <w:i/>
          <w:iCs/>
          <w:sz w:val="20"/>
          <w:szCs w:val="20"/>
        </w:rPr>
        <w:t>¿La Procuraduría suministrará planos DWG o Revit?</w:t>
      </w:r>
    </w:p>
    <w:p w14:paraId="0F9C9CF5" w14:textId="77777777" w:rsidR="00BE6367" w:rsidRDefault="00BE6367">
      <w:pPr>
        <w:spacing w:before="120" w:after="0" w:line="240" w:lineRule="auto"/>
        <w:jc w:val="both"/>
        <w:rPr>
          <w:rFonts w:ascii="Arial" w:eastAsia="Arial" w:hAnsi="Arial" w:cs="Arial"/>
          <w:i/>
          <w:iCs/>
          <w:sz w:val="20"/>
          <w:szCs w:val="20"/>
        </w:rPr>
      </w:pPr>
    </w:p>
    <w:p w14:paraId="063E0CAB"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Sí se cuentan con estos planos. Esta información técnica detallada de las salas será suministrada al comitente vendedor que resulte seleccionado, bajo las condiciones de uso, manejo y confidencialidad establecidas por la Entidad.</w:t>
      </w:r>
    </w:p>
    <w:p w14:paraId="1578AF4D" w14:textId="77777777" w:rsidR="00BE6367" w:rsidRDefault="00C90F6A">
      <w:pPr>
        <w:numPr>
          <w:ilvl w:val="0"/>
          <w:numId w:val="10"/>
        </w:numPr>
        <w:spacing w:before="120" w:after="0" w:line="240" w:lineRule="auto"/>
        <w:jc w:val="both"/>
        <w:rPr>
          <w:rFonts w:ascii="Arial" w:eastAsia="Arial" w:hAnsi="Arial" w:cs="Arial"/>
          <w:i/>
          <w:iCs/>
          <w:sz w:val="20"/>
          <w:szCs w:val="20"/>
        </w:rPr>
      </w:pPr>
      <w:r>
        <w:rPr>
          <w:rFonts w:ascii="Arial" w:eastAsia="Arial" w:hAnsi="Arial" w:cs="Arial"/>
          <w:i/>
          <w:iCs/>
          <w:sz w:val="20"/>
          <w:szCs w:val="20"/>
        </w:rPr>
        <w:t>¿Cuál es la distribución física y capacidad de cada sala?</w:t>
      </w:r>
    </w:p>
    <w:p w14:paraId="51E9D2C5" w14:textId="77777777" w:rsidR="00BE6367" w:rsidRDefault="00C90F6A">
      <w:pPr>
        <w:spacing w:before="120" w:after="0" w:line="240" w:lineRule="auto"/>
        <w:jc w:val="both"/>
        <w:rPr>
          <w:rFonts w:ascii="Arial" w:eastAsia="Arial" w:hAnsi="Arial" w:cs="Arial"/>
          <w:b/>
          <w:bCs/>
          <w:i/>
          <w:iCs/>
          <w:sz w:val="20"/>
          <w:szCs w:val="20"/>
        </w:rPr>
      </w:pPr>
      <w:r>
        <w:rPr>
          <w:rFonts w:ascii="Arial" w:eastAsia="Arial" w:hAnsi="Arial" w:cs="Arial"/>
          <w:b/>
          <w:bCs/>
          <w:i/>
          <w:iCs/>
          <w:sz w:val="20"/>
          <w:szCs w:val="20"/>
        </w:rPr>
        <w:t xml:space="preserve">RESPUESTA A OBSERVACIÓN: </w:t>
      </w:r>
    </w:p>
    <w:p w14:paraId="1247B971"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 xml:space="preserve">La información de planos será suministrada al proponente que sea adjudicado. La sala de audiencias corresponde a un espacio dispuesto para tres (3) personas en la mesa directiva, así como los intervinientes de las partes y sus representes. Las 60 salas de videoconferencia corresponden a espacios de pequeña y mediana escala </w:t>
      </w:r>
    </w:p>
    <w:p w14:paraId="64A1F0C7" w14:textId="77777777" w:rsidR="00BE6367" w:rsidRDefault="00C90F6A">
      <w:pPr>
        <w:numPr>
          <w:ilvl w:val="0"/>
          <w:numId w:val="10"/>
        </w:numPr>
        <w:spacing w:before="120" w:after="0" w:line="240" w:lineRule="auto"/>
        <w:jc w:val="both"/>
        <w:rPr>
          <w:rFonts w:ascii="Arial" w:eastAsia="Arial" w:hAnsi="Arial" w:cs="Arial"/>
          <w:i/>
          <w:iCs/>
          <w:sz w:val="20"/>
          <w:szCs w:val="20"/>
        </w:rPr>
      </w:pPr>
      <w:r>
        <w:rPr>
          <w:rFonts w:ascii="Arial" w:eastAsia="Arial" w:hAnsi="Arial" w:cs="Arial"/>
          <w:i/>
          <w:iCs/>
          <w:sz w:val="20"/>
          <w:szCs w:val="20"/>
        </w:rPr>
        <w:t>¿Cuáles salas corresponden a audiencias y cuáles a videoconferencia?</w:t>
      </w:r>
    </w:p>
    <w:p w14:paraId="339EDC22"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706FD605" w14:textId="77777777" w:rsidR="00BE6367" w:rsidRDefault="00C90F6A">
      <w:pPr>
        <w:spacing w:before="120" w:after="0" w:line="240" w:lineRule="auto"/>
        <w:jc w:val="both"/>
        <w:rPr>
          <w:rFonts w:ascii="Arial" w:eastAsia="Arial" w:hAnsi="Arial" w:cs="Arial"/>
          <w:i/>
          <w:iCs/>
          <w:sz w:val="20"/>
          <w:szCs w:val="20"/>
        </w:rPr>
      </w:pPr>
      <w:r>
        <w:rPr>
          <w:rFonts w:ascii="Arial" w:eastAsia="Arial" w:hAnsi="Arial" w:cs="Arial"/>
          <w:sz w:val="20"/>
          <w:szCs w:val="20"/>
        </w:rPr>
        <w:t xml:space="preserve">La solicitud corresponde a 1 sala de audiencias y 60 salas con equipos de videoconferencia </w:t>
      </w:r>
    </w:p>
    <w:p w14:paraId="0D727D93" w14:textId="77777777" w:rsidR="00BE6367" w:rsidRDefault="00C90F6A">
      <w:pPr>
        <w:numPr>
          <w:ilvl w:val="0"/>
          <w:numId w:val="10"/>
        </w:numPr>
        <w:spacing w:before="120" w:after="0" w:line="240" w:lineRule="auto"/>
        <w:jc w:val="both"/>
        <w:rPr>
          <w:rFonts w:ascii="Arial" w:eastAsia="Arial" w:hAnsi="Arial" w:cs="Arial"/>
          <w:i/>
          <w:iCs/>
          <w:sz w:val="20"/>
          <w:szCs w:val="20"/>
        </w:rPr>
      </w:pPr>
      <w:r>
        <w:rPr>
          <w:rFonts w:ascii="Arial" w:eastAsia="Arial" w:hAnsi="Arial" w:cs="Arial"/>
          <w:i/>
          <w:iCs/>
          <w:sz w:val="20"/>
          <w:szCs w:val="20"/>
        </w:rPr>
        <w:lastRenderedPageBreak/>
        <w:t>¿Existe diseño AV previo o la ingeniería de detalle debe ser desarrollada por el contratista?</w:t>
      </w:r>
    </w:p>
    <w:p w14:paraId="7C481856"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74DA9453" w14:textId="77777777" w:rsidR="00BE6367" w:rsidRDefault="00C90F6A">
      <w:pPr>
        <w:spacing w:before="120" w:after="0" w:line="240" w:lineRule="auto"/>
        <w:jc w:val="both"/>
        <w:rPr>
          <w:rFonts w:ascii="Arial" w:eastAsia="Arial" w:hAnsi="Arial" w:cs="Arial"/>
          <w:i/>
          <w:iCs/>
          <w:sz w:val="20"/>
          <w:szCs w:val="20"/>
        </w:rPr>
      </w:pPr>
      <w:r>
        <w:rPr>
          <w:rFonts w:ascii="Arial" w:eastAsia="Arial" w:hAnsi="Arial" w:cs="Arial"/>
          <w:i/>
          <w:iCs/>
          <w:sz w:val="20"/>
          <w:szCs w:val="20"/>
        </w:rPr>
        <w:t>La ingeniería de detalle deberá ser desarrollada por el contratista adjudicatario, a partir de la visita técnica a las salas y de los equipos y especificaciones mínimas establecidas en la ficha técnica (FTP) del presente proceso. El diseño desarrollado por el contratista deberá contemplar, como mínimo, los equipos y funcionalidades exigidos en el pliego de condiciones, y estará sujeto a la aprobación de la supervisión del contrato.</w:t>
      </w:r>
    </w:p>
    <w:p w14:paraId="00792260" w14:textId="77777777" w:rsidR="00BE6367" w:rsidRDefault="00C90F6A">
      <w:pPr>
        <w:numPr>
          <w:ilvl w:val="0"/>
          <w:numId w:val="10"/>
        </w:numPr>
        <w:spacing w:before="120" w:after="0" w:line="240" w:lineRule="auto"/>
        <w:jc w:val="both"/>
        <w:rPr>
          <w:rFonts w:ascii="Arial" w:eastAsia="Arial" w:hAnsi="Arial" w:cs="Arial"/>
          <w:i/>
          <w:iCs/>
          <w:sz w:val="20"/>
          <w:szCs w:val="20"/>
        </w:rPr>
      </w:pPr>
      <w:r>
        <w:rPr>
          <w:rFonts w:ascii="Arial" w:eastAsia="Arial" w:hAnsi="Arial" w:cs="Arial"/>
          <w:i/>
          <w:iCs/>
          <w:sz w:val="20"/>
          <w:szCs w:val="20"/>
        </w:rPr>
        <w:t>¿Las cantidades indicadas corresponden a una única sala principal o a múltiples salas?</w:t>
      </w:r>
    </w:p>
    <w:p w14:paraId="422877D8"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258A7170"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 xml:space="preserve">Las cantidades indicadas en la ficha técnica corresponden a múltiples salas, y no a una única sala principal, conforme a la distribución de espacios ya señalada en el presente proceso (1 sala de audiencias y 60 salas de videoconferencia). </w:t>
      </w:r>
    </w:p>
    <w:p w14:paraId="4B2E9E11" w14:textId="77777777" w:rsidR="00BE6367" w:rsidRDefault="00BE6367">
      <w:pPr>
        <w:spacing w:before="120" w:after="0" w:line="240" w:lineRule="auto"/>
        <w:jc w:val="both"/>
        <w:rPr>
          <w:rFonts w:ascii="Arial" w:eastAsia="Arial" w:hAnsi="Arial" w:cs="Arial"/>
          <w:sz w:val="20"/>
          <w:szCs w:val="20"/>
        </w:rPr>
      </w:pPr>
    </w:p>
    <w:p w14:paraId="5672DDD9" w14:textId="77777777" w:rsidR="00BE6367" w:rsidRDefault="00C90F6A">
      <w:pPr>
        <w:numPr>
          <w:ilvl w:val="0"/>
          <w:numId w:val="10"/>
        </w:numPr>
        <w:spacing w:before="120" w:after="0" w:line="240" w:lineRule="auto"/>
        <w:jc w:val="both"/>
        <w:rPr>
          <w:rFonts w:ascii="Arial" w:eastAsia="Arial" w:hAnsi="Arial" w:cs="Arial"/>
          <w:i/>
          <w:iCs/>
          <w:sz w:val="20"/>
          <w:szCs w:val="20"/>
        </w:rPr>
      </w:pPr>
      <w:r>
        <w:rPr>
          <w:rFonts w:ascii="Arial" w:eastAsia="Arial" w:hAnsi="Arial" w:cs="Arial"/>
          <w:i/>
          <w:iCs/>
          <w:sz w:val="20"/>
          <w:szCs w:val="20"/>
        </w:rPr>
        <w:t>¿Se requiere certificación de diseño e ingeniería por fabricante?</w:t>
      </w:r>
    </w:p>
    <w:p w14:paraId="0FB5A859" w14:textId="77777777" w:rsidR="00BE6367" w:rsidRDefault="00BE6367">
      <w:pPr>
        <w:spacing w:before="120" w:after="0" w:line="240" w:lineRule="auto"/>
        <w:ind w:left="720"/>
        <w:jc w:val="both"/>
        <w:rPr>
          <w:rFonts w:ascii="Arial" w:eastAsia="Arial" w:hAnsi="Arial" w:cs="Arial"/>
          <w:i/>
          <w:iCs/>
          <w:sz w:val="20"/>
          <w:szCs w:val="20"/>
        </w:rPr>
      </w:pPr>
    </w:p>
    <w:p w14:paraId="470821FE"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1E0CE7F0"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No se requiere la presentación de un diseño de ingeniería certificado por el fabricante como documento habilitante del proceso, sin perjuicio de las certificaciones técnicas de producto o de personal que se exijan en la ficha técnica respecto de los equipos y su instalación. </w:t>
      </w:r>
    </w:p>
    <w:p w14:paraId="702AB3C8" w14:textId="77777777" w:rsidR="00BE6367" w:rsidRDefault="00C90F6A">
      <w:pPr>
        <w:spacing w:before="120"/>
        <w:jc w:val="both"/>
        <w:rPr>
          <w:rFonts w:ascii="Arial" w:eastAsia="Arial" w:hAnsi="Arial" w:cs="Arial"/>
          <w:b/>
          <w:bCs/>
          <w:sz w:val="20"/>
          <w:szCs w:val="20"/>
        </w:rPr>
      </w:pPr>
      <w:r>
        <w:rPr>
          <w:rFonts w:ascii="Arial" w:eastAsia="Arial" w:hAnsi="Arial" w:cs="Arial"/>
          <w:b/>
          <w:bCs/>
          <w:sz w:val="20"/>
          <w:szCs w:val="20"/>
        </w:rPr>
        <w:t>OBSERVACIÓN 8.</w:t>
      </w:r>
    </w:p>
    <w:p w14:paraId="313FF871"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t>ITEM 33. CODIFICADOR / DECODIFICADOR</w:t>
      </w:r>
    </w:p>
    <w:p w14:paraId="7E2AD965" w14:textId="77777777" w:rsidR="00BE6367" w:rsidRDefault="00C90F6A">
      <w:pPr>
        <w:numPr>
          <w:ilvl w:val="0"/>
          <w:numId w:val="11"/>
        </w:numPr>
        <w:spacing w:before="120" w:after="0" w:line="240" w:lineRule="auto"/>
        <w:jc w:val="both"/>
        <w:rPr>
          <w:rFonts w:ascii="Arial" w:eastAsia="Arial" w:hAnsi="Arial" w:cs="Arial"/>
          <w:i/>
          <w:iCs/>
          <w:sz w:val="20"/>
          <w:szCs w:val="20"/>
        </w:rPr>
      </w:pPr>
      <w:r>
        <w:rPr>
          <w:rFonts w:ascii="Arial" w:eastAsia="Arial" w:hAnsi="Arial" w:cs="Arial"/>
          <w:i/>
          <w:iCs/>
          <w:sz w:val="20"/>
          <w:szCs w:val="20"/>
        </w:rPr>
        <w:t>¿Cuál es la tecnología requerida? Mencione la especifca, por ejemplo: AV-over-IP, SDVoE, NDI, Dante AV, JPEG2000 u otra.</w:t>
      </w:r>
    </w:p>
    <w:p w14:paraId="4CE2E96F"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RESPUESTA A OBSERVACIÓN</w:t>
      </w:r>
      <w:r>
        <w:rPr>
          <w:rFonts w:ascii="Arial" w:eastAsia="Arial" w:hAnsi="Arial" w:cs="Arial"/>
          <w:sz w:val="20"/>
          <w:szCs w:val="20"/>
        </w:rPr>
        <w:t>:</w:t>
      </w:r>
    </w:p>
    <w:p w14:paraId="382216F9" w14:textId="77777777" w:rsidR="00BE6367" w:rsidRDefault="00C90F6A">
      <w:pPr>
        <w:spacing w:before="120" w:after="0" w:line="240" w:lineRule="auto"/>
        <w:jc w:val="both"/>
        <w:rPr>
          <w:rFonts w:ascii="Arial" w:eastAsia="Arial" w:hAnsi="Arial" w:cs="Arial"/>
          <w:i/>
          <w:iCs/>
          <w:sz w:val="20"/>
          <w:szCs w:val="20"/>
        </w:rPr>
      </w:pPr>
      <w:r>
        <w:rPr>
          <w:rFonts w:ascii="Arial" w:eastAsia="Arial" w:hAnsi="Arial" w:cs="Arial"/>
          <w:sz w:val="20"/>
          <w:szCs w:val="20"/>
        </w:rPr>
        <w:t xml:space="preserve">La Entidad exige una solución de transmisión de video basada en la arquitectura AV-over-IP, sin supeditar el cumplimiento a un estándar o protocolo propietario específico (SDVoE, NDI, Dante AV, JPEG2000 u otro), siempre que la solución ofertada cumpla con la totalidad de las especificaciones técnicas de resolución, latencia, HDR y compatibilidad HDCP exigidas en la ficha técnica. En consecuencia, se admite cualquier estándar de AV-over-IP que satisfaga dichos parámetros de desempeño. </w:t>
      </w:r>
    </w:p>
    <w:p w14:paraId="0ED82B85" w14:textId="77777777" w:rsidR="00BE6367" w:rsidRDefault="00C90F6A">
      <w:pPr>
        <w:numPr>
          <w:ilvl w:val="0"/>
          <w:numId w:val="11"/>
        </w:numPr>
        <w:spacing w:before="120" w:after="0" w:line="240" w:lineRule="auto"/>
        <w:jc w:val="both"/>
        <w:rPr>
          <w:rFonts w:ascii="Arial" w:eastAsia="Arial" w:hAnsi="Arial" w:cs="Arial"/>
          <w:i/>
          <w:iCs/>
          <w:sz w:val="20"/>
          <w:szCs w:val="20"/>
        </w:rPr>
      </w:pPr>
      <w:r>
        <w:rPr>
          <w:rFonts w:ascii="Arial" w:eastAsia="Arial" w:hAnsi="Arial" w:cs="Arial"/>
          <w:i/>
          <w:iCs/>
          <w:sz w:val="20"/>
          <w:szCs w:val="20"/>
        </w:rPr>
        <w:t>¿Resolución mínima requerida?</w:t>
      </w:r>
    </w:p>
    <w:p w14:paraId="160A57B9"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RESPUESTA A OBSERVACIÓN</w:t>
      </w:r>
      <w:r>
        <w:rPr>
          <w:rFonts w:ascii="Arial" w:eastAsia="Arial" w:hAnsi="Arial" w:cs="Arial"/>
          <w:sz w:val="20"/>
          <w:szCs w:val="20"/>
        </w:rPr>
        <w:t>:</w:t>
      </w:r>
    </w:p>
    <w:p w14:paraId="25D415D9"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 xml:space="preserve">La resolución mínima exigida corresponde a 5120×2160 a 30 Hz (5K Ultra-Wide) o 5120×1440 a 60 Hz (5K Super-Wide), conforme a la ficha técnica. Adicionalmente, el equipo deberá soportar la transmisión de video sobre IP en formato 4K60 4:4:4 en tiempo real sobre red Ethernet Gigabit estándar o similar, como resolución mínima admisible para efectos de esta funcionalidad específica. En consecuencia, se aceptarán equipos que, cumpliendo el estándar de resolución 5K señalado en la ficha técnica, soporten también transmisión en 4K60 4:4:4 o superior. </w:t>
      </w:r>
    </w:p>
    <w:p w14:paraId="5456DDCD" w14:textId="77777777" w:rsidR="00BE6367" w:rsidRDefault="00C90F6A">
      <w:pPr>
        <w:numPr>
          <w:ilvl w:val="0"/>
          <w:numId w:val="11"/>
        </w:numPr>
        <w:spacing w:before="120" w:after="0" w:line="240" w:lineRule="auto"/>
        <w:jc w:val="both"/>
        <w:rPr>
          <w:rFonts w:ascii="Arial" w:eastAsia="Arial" w:hAnsi="Arial" w:cs="Arial"/>
          <w:i/>
          <w:iCs/>
          <w:sz w:val="20"/>
          <w:szCs w:val="20"/>
        </w:rPr>
      </w:pPr>
      <w:r>
        <w:rPr>
          <w:rFonts w:ascii="Arial" w:eastAsia="Arial" w:hAnsi="Arial" w:cs="Arial"/>
          <w:i/>
          <w:iCs/>
          <w:sz w:val="20"/>
          <w:szCs w:val="20"/>
        </w:rPr>
        <w:t>¿4K60 es obligatorio?</w:t>
      </w:r>
    </w:p>
    <w:p w14:paraId="2387F59D"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31E65058" w14:textId="77777777" w:rsidR="00BE6367" w:rsidRDefault="00C90F6A">
      <w:pPr>
        <w:spacing w:before="120" w:after="0" w:line="240" w:lineRule="auto"/>
        <w:jc w:val="both"/>
        <w:rPr>
          <w:rFonts w:ascii="Arial" w:eastAsia="Arial" w:hAnsi="Arial" w:cs="Arial"/>
          <w:i/>
          <w:iCs/>
          <w:sz w:val="20"/>
          <w:szCs w:val="20"/>
        </w:rPr>
      </w:pPr>
      <w:r>
        <w:rPr>
          <w:rFonts w:ascii="Arial" w:eastAsia="Arial" w:hAnsi="Arial" w:cs="Arial"/>
          <w:sz w:val="20"/>
          <w:szCs w:val="20"/>
        </w:rPr>
        <w:t xml:space="preserve">La resolución mínima exigida corresponde a 5120×2160 a 30 Hz (5K Ultra-Wide) o 5120×1440 a 60 Hz (5K Super-Wide), conforme a la ficha técnica. Adicionalmente, el equipo deberá soportar la transmisión de video sobre IP en formato 4K60 4:4:4 en tiempo real sobre red Ethernet Gigabit estándar o similar, como resolución mínima admisible para efectos de esta funcionalidad específica. En consecuencia, se aceptarán equipos que, cumpliendo el estándar </w:t>
      </w:r>
      <w:r>
        <w:rPr>
          <w:rFonts w:ascii="Arial" w:eastAsia="Arial" w:hAnsi="Arial" w:cs="Arial"/>
          <w:sz w:val="20"/>
          <w:szCs w:val="20"/>
        </w:rPr>
        <w:lastRenderedPageBreak/>
        <w:t xml:space="preserve">de resolución 5K señalado en la ficha técnica, soporten también transmisión en 4K60 4:4:4 o superior. </w:t>
      </w:r>
    </w:p>
    <w:p w14:paraId="6BA4FE4F" w14:textId="77777777" w:rsidR="00BE6367" w:rsidRDefault="00C90F6A">
      <w:pPr>
        <w:numPr>
          <w:ilvl w:val="0"/>
          <w:numId w:val="11"/>
        </w:numPr>
        <w:spacing w:before="120" w:after="0" w:line="240" w:lineRule="auto"/>
        <w:jc w:val="both"/>
        <w:rPr>
          <w:rFonts w:ascii="Arial" w:eastAsia="Arial" w:hAnsi="Arial" w:cs="Arial"/>
          <w:i/>
          <w:iCs/>
          <w:sz w:val="20"/>
          <w:szCs w:val="20"/>
        </w:rPr>
      </w:pPr>
      <w:r>
        <w:rPr>
          <w:rFonts w:ascii="Arial" w:eastAsia="Arial" w:hAnsi="Arial" w:cs="Arial"/>
          <w:i/>
          <w:iCs/>
          <w:sz w:val="20"/>
          <w:szCs w:val="20"/>
        </w:rPr>
        <w:t>¿HDR es obligatorio?</w:t>
      </w:r>
    </w:p>
    <w:p w14:paraId="33BCFB56"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7402D59A"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 xml:space="preserve">Se requiere que el equipo soporte tecnología HDR, admitiéndose el cumplimiento mediante cualquiera de los siguientes estándares: HDR10, HDR10+ o Dolby Vision, sin que se exija la implementación simultánea de los tres. La Entidad aclara que la exigencia de HDR busca garantizar un rango dinámico de imagen ampliado acorde con el uso previsto del sistema, finalidad que se satisface con cualquiera de los estándares antes mencionados. </w:t>
      </w:r>
    </w:p>
    <w:p w14:paraId="2BC95A1A" w14:textId="77777777" w:rsidR="00BE6367" w:rsidRDefault="00C90F6A">
      <w:pPr>
        <w:numPr>
          <w:ilvl w:val="0"/>
          <w:numId w:val="11"/>
        </w:numPr>
        <w:spacing w:before="120" w:after="0" w:line="240" w:lineRule="auto"/>
        <w:jc w:val="both"/>
        <w:rPr>
          <w:rFonts w:ascii="Arial" w:eastAsia="Arial" w:hAnsi="Arial" w:cs="Arial"/>
          <w:i/>
          <w:iCs/>
          <w:sz w:val="20"/>
          <w:szCs w:val="20"/>
        </w:rPr>
      </w:pPr>
      <w:r>
        <w:rPr>
          <w:rFonts w:ascii="Arial" w:eastAsia="Arial" w:hAnsi="Arial" w:cs="Arial"/>
          <w:i/>
          <w:iCs/>
          <w:sz w:val="20"/>
          <w:szCs w:val="20"/>
        </w:rPr>
        <w:t>¿Se requiere compatibilidad HDCP 2.3?</w:t>
      </w:r>
    </w:p>
    <w:p w14:paraId="66925350"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RESPUESTA A OBSERVACIÓN</w:t>
      </w:r>
      <w:r>
        <w:rPr>
          <w:rFonts w:ascii="Arial" w:eastAsia="Arial" w:hAnsi="Arial" w:cs="Arial"/>
          <w:sz w:val="20"/>
          <w:szCs w:val="20"/>
        </w:rPr>
        <w:t>:</w:t>
      </w:r>
    </w:p>
    <w:p w14:paraId="169302ED" w14:textId="77777777" w:rsidR="00BE6367" w:rsidRDefault="00C90F6A">
      <w:pPr>
        <w:spacing w:before="120" w:after="0" w:line="240" w:lineRule="auto"/>
        <w:jc w:val="both"/>
        <w:rPr>
          <w:rFonts w:ascii="Arial" w:eastAsia="Arial" w:hAnsi="Arial" w:cs="Arial"/>
          <w:i/>
          <w:iCs/>
          <w:sz w:val="20"/>
          <w:szCs w:val="20"/>
        </w:rPr>
      </w:pPr>
      <w:r>
        <w:rPr>
          <w:rFonts w:ascii="Arial" w:eastAsia="Arial" w:hAnsi="Arial" w:cs="Arial"/>
          <w:sz w:val="20"/>
          <w:szCs w:val="20"/>
        </w:rPr>
        <w:t xml:space="preserve">Si, el equipo debe contar con HDCP 2.3 para garantizar compatibilidad con nuevas y futuras tecnologías </w:t>
      </w:r>
    </w:p>
    <w:p w14:paraId="20E3EFED" w14:textId="77777777" w:rsidR="00BE6367" w:rsidRDefault="00C90F6A">
      <w:pPr>
        <w:numPr>
          <w:ilvl w:val="0"/>
          <w:numId w:val="11"/>
        </w:numPr>
        <w:spacing w:before="120" w:after="0" w:line="240" w:lineRule="auto"/>
        <w:jc w:val="both"/>
        <w:rPr>
          <w:rFonts w:ascii="Arial" w:eastAsia="Arial" w:hAnsi="Arial" w:cs="Arial"/>
          <w:i/>
          <w:iCs/>
          <w:sz w:val="20"/>
          <w:szCs w:val="20"/>
        </w:rPr>
      </w:pPr>
      <w:r>
        <w:rPr>
          <w:rFonts w:ascii="Arial" w:eastAsia="Arial" w:hAnsi="Arial" w:cs="Arial"/>
          <w:i/>
          <w:iCs/>
          <w:sz w:val="20"/>
          <w:szCs w:val="20"/>
        </w:rPr>
        <w:t>¿Los equipos deben ser del mismo fabricante de la matriz de video?</w:t>
      </w:r>
    </w:p>
    <w:p w14:paraId="637828EB"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13C6A6B3"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Dentro del FTN no se está solicitando matriz de video, el equipo debe permitir conmutación de vídeo manual o automática de las entradas y/o salidas a razón de enviar o recibir la señal por IP</w:t>
      </w:r>
      <w:r>
        <w:rPr>
          <w:rFonts w:ascii="Arial" w:eastAsia="Arial" w:hAnsi="Arial" w:cs="Arial"/>
          <w:b/>
          <w:bCs/>
          <w:sz w:val="20"/>
          <w:szCs w:val="20"/>
        </w:rPr>
        <w:t xml:space="preserve"> </w:t>
      </w:r>
    </w:p>
    <w:p w14:paraId="46F5E703" w14:textId="77777777" w:rsidR="00BE6367" w:rsidRDefault="00C90F6A">
      <w:pPr>
        <w:numPr>
          <w:ilvl w:val="0"/>
          <w:numId w:val="11"/>
        </w:numPr>
        <w:spacing w:before="120" w:after="0" w:line="240" w:lineRule="auto"/>
        <w:jc w:val="both"/>
        <w:rPr>
          <w:rFonts w:ascii="Arial" w:eastAsia="Arial" w:hAnsi="Arial" w:cs="Arial"/>
          <w:i/>
          <w:iCs/>
          <w:sz w:val="20"/>
          <w:szCs w:val="20"/>
        </w:rPr>
      </w:pPr>
      <w:r>
        <w:rPr>
          <w:rFonts w:ascii="Arial" w:eastAsia="Arial" w:hAnsi="Arial" w:cs="Arial"/>
          <w:i/>
          <w:iCs/>
          <w:sz w:val="20"/>
          <w:szCs w:val="20"/>
        </w:rPr>
        <w:t>¿Cuál es la latencia máxima permitida?</w:t>
      </w:r>
    </w:p>
    <w:p w14:paraId="62AC2A97"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RESPUESTA A OBSERVACIÓN</w:t>
      </w:r>
      <w:r>
        <w:rPr>
          <w:rFonts w:ascii="Arial" w:eastAsia="Arial" w:hAnsi="Arial" w:cs="Arial"/>
          <w:sz w:val="20"/>
          <w:szCs w:val="20"/>
        </w:rPr>
        <w:t>:</w:t>
      </w:r>
    </w:p>
    <w:p w14:paraId="01EACE28"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 xml:space="preserve">La latencia máxima permitida es de 1 fotograma, equivalente a un máximo de ~20 ms, medido de extremo a extremo entre la fuente y el destino de la señal. </w:t>
      </w:r>
    </w:p>
    <w:p w14:paraId="27F38C34" w14:textId="77777777" w:rsidR="00BE6367" w:rsidRDefault="00C90F6A">
      <w:pPr>
        <w:numPr>
          <w:ilvl w:val="0"/>
          <w:numId w:val="11"/>
        </w:numPr>
        <w:spacing w:before="120" w:after="0" w:line="240" w:lineRule="auto"/>
        <w:jc w:val="both"/>
        <w:rPr>
          <w:rFonts w:ascii="Arial" w:eastAsia="Arial" w:hAnsi="Arial" w:cs="Arial"/>
          <w:i/>
          <w:iCs/>
          <w:sz w:val="20"/>
          <w:szCs w:val="20"/>
        </w:rPr>
      </w:pPr>
      <w:r>
        <w:rPr>
          <w:rFonts w:ascii="Arial" w:eastAsia="Arial" w:hAnsi="Arial" w:cs="Arial"/>
          <w:i/>
          <w:iCs/>
          <w:sz w:val="20"/>
          <w:szCs w:val="20"/>
        </w:rPr>
        <w:t>¿Se requiere redundancia?</w:t>
      </w:r>
    </w:p>
    <w:p w14:paraId="45567F29"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RESPUESTA A OBSERVACIÓN</w:t>
      </w:r>
      <w:r>
        <w:rPr>
          <w:rFonts w:ascii="Arial" w:eastAsia="Arial" w:hAnsi="Arial" w:cs="Arial"/>
          <w:sz w:val="20"/>
          <w:szCs w:val="20"/>
        </w:rPr>
        <w:t>:</w:t>
      </w:r>
      <w:r>
        <w:rPr>
          <w:rFonts w:ascii="Arial" w:eastAsia="Arial" w:hAnsi="Arial" w:cs="Arial"/>
          <w:b/>
          <w:bCs/>
          <w:sz w:val="20"/>
          <w:szCs w:val="20"/>
        </w:rPr>
        <w:t xml:space="preserve"> </w:t>
      </w:r>
    </w:p>
    <w:p w14:paraId="22591154"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No es requerida la redundancia</w:t>
      </w:r>
    </w:p>
    <w:p w14:paraId="4DFA774A" w14:textId="77777777" w:rsidR="00BE6367" w:rsidRDefault="00BE6367">
      <w:pPr>
        <w:jc w:val="both"/>
        <w:rPr>
          <w:rFonts w:ascii="Arial" w:eastAsia="Arial" w:hAnsi="Arial" w:cs="Arial"/>
          <w:i/>
          <w:iCs/>
          <w:sz w:val="20"/>
          <w:szCs w:val="20"/>
        </w:rPr>
      </w:pPr>
    </w:p>
    <w:p w14:paraId="1CBF3F6E"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t>OBSERVACIÓN 9.</w:t>
      </w:r>
    </w:p>
    <w:p w14:paraId="6FF127DD"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t>ITEM 34. CÁMARA PTZ</w:t>
      </w:r>
    </w:p>
    <w:p w14:paraId="11933F60" w14:textId="77777777" w:rsidR="00BE6367" w:rsidRDefault="00C90F6A">
      <w:pPr>
        <w:numPr>
          <w:ilvl w:val="0"/>
          <w:numId w:val="13"/>
        </w:numPr>
        <w:spacing w:before="120" w:after="0" w:line="240" w:lineRule="auto"/>
        <w:jc w:val="both"/>
        <w:rPr>
          <w:rFonts w:ascii="Arial" w:eastAsia="Arial" w:hAnsi="Arial" w:cs="Arial"/>
          <w:i/>
          <w:iCs/>
          <w:sz w:val="20"/>
          <w:szCs w:val="20"/>
        </w:rPr>
      </w:pPr>
      <w:r>
        <w:rPr>
          <w:rFonts w:ascii="Arial" w:eastAsia="Arial" w:hAnsi="Arial" w:cs="Arial"/>
          <w:i/>
          <w:iCs/>
          <w:sz w:val="20"/>
          <w:szCs w:val="20"/>
        </w:rPr>
        <w:t>¿Resolución requerida (1080p, 4K)?</w:t>
      </w:r>
    </w:p>
    <w:p w14:paraId="58F3038A"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7DDBB1C6" w14:textId="77777777" w:rsidR="00BE6367" w:rsidRDefault="00C90F6A">
      <w:pPr>
        <w:spacing w:before="120" w:after="0" w:line="240" w:lineRule="auto"/>
        <w:jc w:val="both"/>
        <w:rPr>
          <w:rFonts w:ascii="Arial" w:eastAsia="Arial" w:hAnsi="Arial" w:cs="Arial"/>
          <w:sz w:val="20"/>
          <w:szCs w:val="20"/>
          <w:vertAlign w:val="superscript"/>
        </w:rPr>
      </w:pPr>
      <w:r>
        <w:rPr>
          <w:rFonts w:ascii="Arial" w:eastAsia="Arial" w:hAnsi="Arial" w:cs="Arial"/>
          <w:sz w:val="20"/>
          <w:szCs w:val="20"/>
        </w:rPr>
        <w:t xml:space="preserve">La información solicitada se encuentra especificada en la ficha técnica del proceso (FTP), correspondiente al ítem </w:t>
      </w:r>
      <w:r>
        <w:rPr>
          <w:rFonts w:ascii="Arial" w:eastAsia="Arial" w:hAnsi="Arial" w:cs="Arial"/>
          <w:b/>
          <w:bCs/>
          <w:i/>
          <w:iCs/>
          <w:sz w:val="20"/>
          <w:szCs w:val="20"/>
        </w:rPr>
        <w:t>CÁMARA PTZ</w:t>
      </w:r>
      <w:r>
        <w:rPr>
          <w:rFonts w:ascii="Arial" w:eastAsia="Arial" w:hAnsi="Arial" w:cs="Arial"/>
          <w:sz w:val="20"/>
          <w:szCs w:val="20"/>
        </w:rPr>
        <w:t xml:space="preserve">, documento que el proponente podrá consultar para efectos de la estructuración de su oferta. </w:t>
      </w:r>
    </w:p>
    <w:p w14:paraId="704007AA" w14:textId="77777777" w:rsidR="00BE6367" w:rsidRDefault="00C90F6A">
      <w:pPr>
        <w:numPr>
          <w:ilvl w:val="0"/>
          <w:numId w:val="13"/>
        </w:numPr>
        <w:spacing w:before="120" w:after="0" w:line="240" w:lineRule="auto"/>
        <w:jc w:val="both"/>
        <w:rPr>
          <w:rFonts w:ascii="Arial" w:eastAsia="Arial" w:hAnsi="Arial" w:cs="Arial"/>
          <w:i/>
          <w:iCs/>
          <w:sz w:val="20"/>
          <w:szCs w:val="20"/>
        </w:rPr>
      </w:pPr>
      <w:r>
        <w:rPr>
          <w:rFonts w:ascii="Arial" w:eastAsia="Arial" w:hAnsi="Arial" w:cs="Arial"/>
          <w:i/>
          <w:iCs/>
          <w:sz w:val="20"/>
          <w:szCs w:val="20"/>
        </w:rPr>
        <w:t>¿Zoom óptico mínimo?</w:t>
      </w:r>
    </w:p>
    <w:p w14:paraId="63730602"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RESPUESTA A OBSERVACIÓN</w:t>
      </w:r>
      <w:r>
        <w:rPr>
          <w:rFonts w:ascii="Arial" w:eastAsia="Arial" w:hAnsi="Arial" w:cs="Arial"/>
          <w:sz w:val="20"/>
          <w:szCs w:val="20"/>
        </w:rPr>
        <w:t>:</w:t>
      </w:r>
    </w:p>
    <w:p w14:paraId="4EBA614E"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 xml:space="preserve">La información solicitada se encuentra especificada en la ficha técnica del proceso (FTP), correspondiente al ítem </w:t>
      </w:r>
      <w:r>
        <w:rPr>
          <w:rFonts w:ascii="Arial" w:eastAsia="Arial" w:hAnsi="Arial" w:cs="Arial"/>
          <w:b/>
          <w:bCs/>
          <w:i/>
          <w:iCs/>
          <w:sz w:val="20"/>
          <w:szCs w:val="20"/>
        </w:rPr>
        <w:t>CÁMARA PTZ</w:t>
      </w:r>
      <w:r>
        <w:rPr>
          <w:rFonts w:ascii="Arial" w:eastAsia="Arial" w:hAnsi="Arial" w:cs="Arial"/>
          <w:sz w:val="20"/>
          <w:szCs w:val="20"/>
        </w:rPr>
        <w:t xml:space="preserve">, documento que el proponente podrá consultar para efectos de la estructuración de su oferta. </w:t>
      </w:r>
    </w:p>
    <w:p w14:paraId="5F33BA5C" w14:textId="77777777" w:rsidR="00BE6367" w:rsidRDefault="00C90F6A">
      <w:pPr>
        <w:numPr>
          <w:ilvl w:val="0"/>
          <w:numId w:val="13"/>
        </w:numPr>
        <w:spacing w:before="120" w:after="0" w:line="240" w:lineRule="auto"/>
        <w:jc w:val="both"/>
        <w:rPr>
          <w:rFonts w:ascii="Arial" w:eastAsia="Arial" w:hAnsi="Arial" w:cs="Arial"/>
          <w:i/>
          <w:iCs/>
          <w:sz w:val="20"/>
          <w:szCs w:val="20"/>
        </w:rPr>
      </w:pPr>
      <w:r>
        <w:rPr>
          <w:rFonts w:ascii="Arial" w:eastAsia="Arial" w:hAnsi="Arial" w:cs="Arial"/>
          <w:i/>
          <w:iCs/>
          <w:sz w:val="20"/>
          <w:szCs w:val="20"/>
        </w:rPr>
        <w:t>¿PoE obligatorio?</w:t>
      </w:r>
    </w:p>
    <w:p w14:paraId="5E815122"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RESPUESTA A OBSERVACIÓN</w:t>
      </w:r>
      <w:r>
        <w:rPr>
          <w:rFonts w:ascii="Arial" w:eastAsia="Arial" w:hAnsi="Arial" w:cs="Arial"/>
          <w:sz w:val="20"/>
          <w:szCs w:val="20"/>
        </w:rPr>
        <w:t>:</w:t>
      </w:r>
    </w:p>
    <w:p w14:paraId="22126CE8"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Si es requerido el PoE ya que se debe garantizar que los equipos funcionen tanto en corriente como en red</w:t>
      </w:r>
      <w:r>
        <w:rPr>
          <w:rFonts w:ascii="Arial" w:eastAsia="Arial" w:hAnsi="Arial" w:cs="Arial"/>
          <w:b/>
          <w:bCs/>
          <w:sz w:val="20"/>
          <w:szCs w:val="20"/>
        </w:rPr>
        <w:t xml:space="preserve"> </w:t>
      </w:r>
    </w:p>
    <w:p w14:paraId="37E8B4CF" w14:textId="77777777" w:rsidR="00BE6367" w:rsidRDefault="00C90F6A">
      <w:pPr>
        <w:numPr>
          <w:ilvl w:val="0"/>
          <w:numId w:val="13"/>
        </w:numPr>
        <w:spacing w:before="120" w:after="0" w:line="240" w:lineRule="auto"/>
        <w:jc w:val="both"/>
        <w:rPr>
          <w:rFonts w:ascii="Arial" w:eastAsia="Arial" w:hAnsi="Arial" w:cs="Arial"/>
          <w:i/>
          <w:iCs/>
          <w:sz w:val="20"/>
          <w:szCs w:val="20"/>
        </w:rPr>
      </w:pPr>
      <w:r>
        <w:rPr>
          <w:rFonts w:ascii="Arial" w:eastAsia="Arial" w:hAnsi="Arial" w:cs="Arial"/>
          <w:i/>
          <w:iCs/>
          <w:sz w:val="20"/>
          <w:szCs w:val="20"/>
        </w:rPr>
        <w:t>¿NDI requerido?</w:t>
      </w:r>
    </w:p>
    <w:p w14:paraId="756D2956"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77D7B4A9"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lastRenderedPageBreak/>
        <w:t xml:space="preserve">La información solicitada se encuentra especificada en la ficha técnica del proceso (FTP), correspondiente al ítem </w:t>
      </w:r>
      <w:r>
        <w:rPr>
          <w:rFonts w:ascii="Arial" w:eastAsia="Arial" w:hAnsi="Arial" w:cs="Arial"/>
          <w:b/>
          <w:bCs/>
          <w:i/>
          <w:iCs/>
          <w:sz w:val="20"/>
          <w:szCs w:val="20"/>
        </w:rPr>
        <w:t>CÁMARA PTZ</w:t>
      </w:r>
      <w:r>
        <w:rPr>
          <w:rFonts w:ascii="Arial" w:eastAsia="Arial" w:hAnsi="Arial" w:cs="Arial"/>
          <w:sz w:val="20"/>
          <w:szCs w:val="20"/>
        </w:rPr>
        <w:t xml:space="preserve">, documento que el proponente podrá consultar para efectos de la estructuración de su oferta. </w:t>
      </w:r>
    </w:p>
    <w:p w14:paraId="293AB14E" w14:textId="77777777" w:rsidR="00BE6367" w:rsidRDefault="00C90F6A">
      <w:pPr>
        <w:numPr>
          <w:ilvl w:val="0"/>
          <w:numId w:val="13"/>
        </w:numPr>
        <w:spacing w:before="120" w:after="0" w:line="240" w:lineRule="auto"/>
        <w:jc w:val="both"/>
        <w:rPr>
          <w:rFonts w:ascii="Arial" w:eastAsia="Arial" w:hAnsi="Arial" w:cs="Arial"/>
          <w:i/>
          <w:iCs/>
          <w:sz w:val="20"/>
          <w:szCs w:val="20"/>
        </w:rPr>
      </w:pPr>
      <w:r>
        <w:rPr>
          <w:rFonts w:ascii="Arial" w:eastAsia="Arial" w:hAnsi="Arial" w:cs="Arial"/>
          <w:i/>
          <w:iCs/>
          <w:sz w:val="20"/>
          <w:szCs w:val="20"/>
        </w:rPr>
        <w:t>¿SDI requerido?</w:t>
      </w:r>
    </w:p>
    <w:p w14:paraId="4BB0C531"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RESPUESTA A OBSERVACIÓN</w:t>
      </w:r>
      <w:r>
        <w:rPr>
          <w:rFonts w:ascii="Arial" w:eastAsia="Arial" w:hAnsi="Arial" w:cs="Arial"/>
          <w:sz w:val="20"/>
          <w:szCs w:val="20"/>
        </w:rPr>
        <w:t>:</w:t>
      </w:r>
      <w:r>
        <w:rPr>
          <w:rFonts w:ascii="Arial" w:eastAsia="Arial" w:hAnsi="Arial" w:cs="Arial"/>
          <w:b/>
          <w:bCs/>
          <w:sz w:val="20"/>
          <w:szCs w:val="20"/>
        </w:rPr>
        <w:t xml:space="preserve"> </w:t>
      </w:r>
    </w:p>
    <w:p w14:paraId="5789CA0E"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 xml:space="preserve">La información solicitada se encuentra especificada en la ficha técnica del proceso (FTP), correspondiente al ítem </w:t>
      </w:r>
      <w:r>
        <w:rPr>
          <w:rFonts w:ascii="Arial" w:eastAsia="Arial" w:hAnsi="Arial" w:cs="Arial"/>
          <w:b/>
          <w:bCs/>
          <w:i/>
          <w:iCs/>
          <w:sz w:val="20"/>
          <w:szCs w:val="20"/>
        </w:rPr>
        <w:t>CÁMARA PTZ</w:t>
      </w:r>
      <w:r>
        <w:rPr>
          <w:rFonts w:ascii="Arial" w:eastAsia="Arial" w:hAnsi="Arial" w:cs="Arial"/>
          <w:sz w:val="20"/>
          <w:szCs w:val="20"/>
        </w:rPr>
        <w:t xml:space="preserve">, documento que el proponente podrá consultar para efectos de la estructuración de su oferta. </w:t>
      </w:r>
    </w:p>
    <w:p w14:paraId="5C197272" w14:textId="77777777" w:rsidR="00BE6367" w:rsidRDefault="00C90F6A">
      <w:pPr>
        <w:numPr>
          <w:ilvl w:val="0"/>
          <w:numId w:val="13"/>
        </w:numPr>
        <w:spacing w:before="120" w:after="0" w:line="240" w:lineRule="auto"/>
        <w:jc w:val="both"/>
        <w:rPr>
          <w:rFonts w:ascii="Arial" w:eastAsia="Arial" w:hAnsi="Arial" w:cs="Arial"/>
          <w:i/>
          <w:iCs/>
          <w:sz w:val="20"/>
          <w:szCs w:val="20"/>
        </w:rPr>
      </w:pPr>
      <w:r>
        <w:rPr>
          <w:rFonts w:ascii="Arial" w:eastAsia="Arial" w:hAnsi="Arial" w:cs="Arial"/>
          <w:i/>
          <w:iCs/>
          <w:sz w:val="20"/>
          <w:szCs w:val="20"/>
        </w:rPr>
        <w:t>¿Capacidad de tracking automático?</w:t>
      </w:r>
    </w:p>
    <w:p w14:paraId="574866D0"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RESPUESTA A OBSERVACIÓN</w:t>
      </w:r>
      <w:r>
        <w:rPr>
          <w:rFonts w:ascii="Arial" w:eastAsia="Arial" w:hAnsi="Arial" w:cs="Arial"/>
          <w:sz w:val="20"/>
          <w:szCs w:val="20"/>
        </w:rPr>
        <w:t>:</w:t>
      </w:r>
    </w:p>
    <w:p w14:paraId="0F9D2CE1"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 xml:space="preserve">La cámara PTZ deberá contar con capacidad de seguimiento automático (tracking) que permita seguir con fluidez a un único presentador en movimiento dentro del área de presentación designada, mediante tecnologías equivalentes a las admitidas para la funcionalidad de encuadre automático (Auto Framing, AI Framing, Speaker Tracking o similares) conforme a lo ya precisado en la respuesta a la observación técnica correspondiente de este mismo proceso. </w:t>
      </w:r>
    </w:p>
    <w:p w14:paraId="1BCF7C1F" w14:textId="77777777" w:rsidR="00BE6367" w:rsidRDefault="00C90F6A">
      <w:pPr>
        <w:numPr>
          <w:ilvl w:val="0"/>
          <w:numId w:val="13"/>
        </w:numPr>
        <w:spacing w:before="120" w:after="0" w:line="240" w:lineRule="auto"/>
        <w:jc w:val="both"/>
        <w:rPr>
          <w:rFonts w:ascii="Arial" w:eastAsia="Arial" w:hAnsi="Arial" w:cs="Arial"/>
          <w:i/>
          <w:iCs/>
          <w:sz w:val="20"/>
          <w:szCs w:val="20"/>
        </w:rPr>
      </w:pPr>
      <w:r>
        <w:rPr>
          <w:rFonts w:ascii="Arial" w:eastAsia="Arial" w:hAnsi="Arial" w:cs="Arial"/>
          <w:i/>
          <w:iCs/>
          <w:sz w:val="20"/>
          <w:szCs w:val="20"/>
        </w:rPr>
        <w:t>¿Compatibilidad con Teams o Zoom?</w:t>
      </w:r>
    </w:p>
    <w:p w14:paraId="01D97693"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RESPUESTA A OBSERVACIÓN</w:t>
      </w:r>
      <w:r>
        <w:rPr>
          <w:rFonts w:ascii="Arial" w:eastAsia="Arial" w:hAnsi="Arial" w:cs="Arial"/>
          <w:sz w:val="20"/>
          <w:szCs w:val="20"/>
        </w:rPr>
        <w:t>:</w:t>
      </w:r>
    </w:p>
    <w:p w14:paraId="0EA6998E"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 xml:space="preserve">La cámara PTZ deberá garantizar su compatibilidad e interoperabilidad simultánea con ambas plataformas de videoconferencia, Microsoft Teams y Zoom, mediante certificación individual del equipo (Microsoft Teams Rooms Certified y Zoom Rooms Certified) </w:t>
      </w:r>
    </w:p>
    <w:p w14:paraId="285DA040" w14:textId="77777777" w:rsidR="00BE6367" w:rsidRDefault="00BE6367">
      <w:pPr>
        <w:spacing w:before="120"/>
        <w:jc w:val="both"/>
        <w:rPr>
          <w:rFonts w:ascii="Arial" w:eastAsia="Arial" w:hAnsi="Arial" w:cs="Arial"/>
          <w:i/>
          <w:iCs/>
          <w:sz w:val="20"/>
          <w:szCs w:val="20"/>
        </w:rPr>
      </w:pPr>
    </w:p>
    <w:p w14:paraId="2AD9828E" w14:textId="77777777" w:rsidR="00BE6367" w:rsidRDefault="00C90F6A">
      <w:pPr>
        <w:spacing w:before="120"/>
        <w:jc w:val="both"/>
        <w:rPr>
          <w:rFonts w:ascii="Arial" w:eastAsia="Arial" w:hAnsi="Arial" w:cs="Arial"/>
          <w:i/>
          <w:iCs/>
          <w:sz w:val="20"/>
          <w:szCs w:val="20"/>
        </w:rPr>
      </w:pPr>
      <w:r>
        <w:rPr>
          <w:rFonts w:ascii="Arial" w:eastAsia="Arial" w:hAnsi="Arial" w:cs="Arial"/>
          <w:b/>
          <w:bCs/>
          <w:i/>
          <w:iCs/>
          <w:sz w:val="20"/>
          <w:szCs w:val="20"/>
        </w:rPr>
        <w:t>OBSERVACIÓN 10.</w:t>
      </w:r>
    </w:p>
    <w:p w14:paraId="75724A1D"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t>ITEM 35. SOLUCIÓN DE CONMUTACIÓN MULTICÁMARA</w:t>
      </w:r>
    </w:p>
    <w:p w14:paraId="3C923425" w14:textId="77777777" w:rsidR="00BE6367" w:rsidRDefault="00C90F6A">
      <w:pPr>
        <w:numPr>
          <w:ilvl w:val="0"/>
          <w:numId w:val="14"/>
        </w:numPr>
        <w:spacing w:before="120" w:after="0" w:line="240" w:lineRule="auto"/>
        <w:jc w:val="both"/>
        <w:rPr>
          <w:rFonts w:ascii="Arial" w:eastAsia="Arial" w:hAnsi="Arial" w:cs="Arial"/>
          <w:i/>
          <w:iCs/>
          <w:sz w:val="20"/>
          <w:szCs w:val="20"/>
        </w:rPr>
      </w:pPr>
      <w:r>
        <w:rPr>
          <w:rFonts w:ascii="Arial" w:eastAsia="Arial" w:hAnsi="Arial" w:cs="Arial"/>
          <w:i/>
          <w:iCs/>
          <w:sz w:val="20"/>
          <w:szCs w:val="20"/>
        </w:rPr>
        <w:t>¿Cantidad simultánea de fuentes?</w:t>
      </w:r>
    </w:p>
    <w:p w14:paraId="4FE741C9"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75D3ADC2"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 xml:space="preserve">El equipo deberá permitir el procesamiento simultáneo de un mínimo de 5 fuentes de video mediante protocolo NDI y 7 entradas de video mediante interfaz SDI, pudiendo operar ambas capacidades de manera concurrente conforme a la configuración de producción requerida. </w:t>
      </w:r>
    </w:p>
    <w:p w14:paraId="54BDE156" w14:textId="77777777" w:rsidR="00BE6367" w:rsidRDefault="00C90F6A">
      <w:pPr>
        <w:numPr>
          <w:ilvl w:val="0"/>
          <w:numId w:val="14"/>
        </w:numPr>
        <w:spacing w:before="120" w:after="0" w:line="240" w:lineRule="auto"/>
        <w:jc w:val="both"/>
        <w:rPr>
          <w:rFonts w:ascii="Arial" w:eastAsia="Arial" w:hAnsi="Arial" w:cs="Arial"/>
          <w:i/>
          <w:iCs/>
          <w:sz w:val="20"/>
          <w:szCs w:val="20"/>
        </w:rPr>
      </w:pPr>
      <w:r>
        <w:rPr>
          <w:rFonts w:ascii="Arial" w:eastAsia="Arial" w:hAnsi="Arial" w:cs="Arial"/>
          <w:i/>
          <w:iCs/>
          <w:sz w:val="20"/>
          <w:szCs w:val="20"/>
        </w:rPr>
        <w:t>¿Producción para streaming o grabación?</w:t>
      </w:r>
    </w:p>
    <w:p w14:paraId="137A95CF"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60D1D973"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 xml:space="preserve">El equipo deberá permitir a la Entidad ambos modos de producción: transmisión en vivo (streaming) y grabación, de manera simultánea o independiente, según la necesidad operativa de cada evento. </w:t>
      </w:r>
    </w:p>
    <w:p w14:paraId="6D8FF3E8" w14:textId="77777777" w:rsidR="00BE6367" w:rsidRDefault="00C90F6A">
      <w:pPr>
        <w:numPr>
          <w:ilvl w:val="0"/>
          <w:numId w:val="14"/>
        </w:numPr>
        <w:spacing w:before="120" w:after="0" w:line="240" w:lineRule="auto"/>
        <w:jc w:val="both"/>
        <w:rPr>
          <w:rFonts w:ascii="Arial" w:eastAsia="Arial" w:hAnsi="Arial" w:cs="Arial"/>
          <w:i/>
          <w:iCs/>
          <w:sz w:val="20"/>
          <w:szCs w:val="20"/>
        </w:rPr>
      </w:pPr>
      <w:r>
        <w:rPr>
          <w:rFonts w:ascii="Arial" w:eastAsia="Arial" w:hAnsi="Arial" w:cs="Arial"/>
          <w:i/>
          <w:iCs/>
          <w:sz w:val="20"/>
          <w:szCs w:val="20"/>
        </w:rPr>
        <w:t>¿Número de entradas SDI?</w:t>
      </w:r>
    </w:p>
    <w:p w14:paraId="468CF109"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2807B386"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 xml:space="preserve">La información solicitada se encuentra especificada en la ficha técnica del proceso (FTP), correspondiente al ítem </w:t>
      </w:r>
      <w:r>
        <w:rPr>
          <w:rFonts w:ascii="Arial" w:eastAsia="Arial" w:hAnsi="Arial" w:cs="Arial"/>
          <w:b/>
          <w:bCs/>
          <w:sz w:val="20"/>
          <w:szCs w:val="20"/>
        </w:rPr>
        <w:t>SOLUCIÓN DE CONMUTACIÓN MULTICÁMARA</w:t>
      </w:r>
      <w:r>
        <w:rPr>
          <w:rFonts w:ascii="Arial" w:eastAsia="Arial" w:hAnsi="Arial" w:cs="Arial"/>
          <w:sz w:val="20"/>
          <w:szCs w:val="20"/>
        </w:rPr>
        <w:t xml:space="preserve"> , documento que el proponente podrá consultar para efectos de la estructuración de su oferta. </w:t>
      </w:r>
    </w:p>
    <w:p w14:paraId="4A7ED992" w14:textId="77777777" w:rsidR="00BE6367" w:rsidRDefault="00C90F6A">
      <w:pPr>
        <w:numPr>
          <w:ilvl w:val="0"/>
          <w:numId w:val="14"/>
        </w:numPr>
        <w:spacing w:before="120" w:after="0" w:line="240" w:lineRule="auto"/>
        <w:jc w:val="both"/>
        <w:rPr>
          <w:rFonts w:ascii="Arial" w:eastAsia="Arial" w:hAnsi="Arial" w:cs="Arial"/>
          <w:i/>
          <w:iCs/>
          <w:sz w:val="20"/>
          <w:szCs w:val="20"/>
        </w:rPr>
      </w:pPr>
      <w:r>
        <w:rPr>
          <w:rFonts w:ascii="Arial" w:eastAsia="Arial" w:hAnsi="Arial" w:cs="Arial"/>
          <w:i/>
          <w:iCs/>
          <w:sz w:val="20"/>
          <w:szCs w:val="20"/>
        </w:rPr>
        <w:t>¿Número de entradas HDMI?</w:t>
      </w:r>
    </w:p>
    <w:p w14:paraId="7F6D9139"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29693A15" w14:textId="77777777" w:rsidR="00BE6367" w:rsidRDefault="00C90F6A">
      <w:pPr>
        <w:spacing w:before="120" w:after="0" w:line="240" w:lineRule="auto"/>
        <w:jc w:val="both"/>
        <w:rPr>
          <w:rFonts w:ascii="Arial" w:eastAsia="Arial" w:hAnsi="Arial" w:cs="Arial"/>
          <w:b/>
          <w:bCs/>
          <w:i/>
          <w:iCs/>
          <w:sz w:val="20"/>
          <w:szCs w:val="20"/>
        </w:rPr>
      </w:pPr>
      <w:r>
        <w:rPr>
          <w:rFonts w:ascii="Arial" w:eastAsia="Arial" w:hAnsi="Arial" w:cs="Arial"/>
          <w:sz w:val="20"/>
          <w:szCs w:val="20"/>
        </w:rPr>
        <w:t xml:space="preserve"> La información solicitada se encuentra especificada en la ficha técnica del proceso (FTP), correspondiente al ítem </w:t>
      </w:r>
      <w:r>
        <w:rPr>
          <w:rFonts w:ascii="Arial" w:eastAsia="Arial" w:hAnsi="Arial" w:cs="Arial"/>
          <w:b/>
          <w:bCs/>
          <w:sz w:val="20"/>
          <w:szCs w:val="20"/>
        </w:rPr>
        <w:t>SOLUCIÓN DE CONMUTACIÓN MULTICÁMARA</w:t>
      </w:r>
      <w:r>
        <w:rPr>
          <w:rFonts w:ascii="Arial" w:eastAsia="Arial" w:hAnsi="Arial" w:cs="Arial"/>
          <w:sz w:val="20"/>
          <w:szCs w:val="20"/>
        </w:rPr>
        <w:t xml:space="preserve"> , documento que el proponente podrá consultar para efectos de la estructuración de su oferta. </w:t>
      </w:r>
    </w:p>
    <w:p w14:paraId="44E61391" w14:textId="77777777" w:rsidR="00BE6367" w:rsidRDefault="00C90F6A">
      <w:pPr>
        <w:numPr>
          <w:ilvl w:val="0"/>
          <w:numId w:val="14"/>
        </w:numPr>
        <w:spacing w:before="120" w:after="0" w:line="240" w:lineRule="auto"/>
        <w:jc w:val="both"/>
        <w:rPr>
          <w:rFonts w:ascii="Arial" w:eastAsia="Arial" w:hAnsi="Arial" w:cs="Arial"/>
          <w:i/>
          <w:iCs/>
          <w:sz w:val="20"/>
          <w:szCs w:val="20"/>
        </w:rPr>
      </w:pPr>
      <w:r>
        <w:rPr>
          <w:rFonts w:ascii="Arial" w:eastAsia="Arial" w:hAnsi="Arial" w:cs="Arial"/>
          <w:i/>
          <w:iCs/>
          <w:sz w:val="20"/>
          <w:szCs w:val="20"/>
        </w:rPr>
        <w:t>¿Cantidad de salidas programa?</w:t>
      </w:r>
    </w:p>
    <w:p w14:paraId="498976A5"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39997108"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sz w:val="20"/>
          <w:szCs w:val="20"/>
        </w:rPr>
        <w:lastRenderedPageBreak/>
        <w:t xml:space="preserve">La información solicitada se encuentra especificada en la ficha técnica del proceso (FTP), correspondiente al ítem </w:t>
      </w:r>
      <w:r>
        <w:rPr>
          <w:rFonts w:ascii="Arial" w:eastAsia="Arial" w:hAnsi="Arial" w:cs="Arial"/>
          <w:b/>
          <w:bCs/>
          <w:sz w:val="20"/>
          <w:szCs w:val="20"/>
        </w:rPr>
        <w:t>SOLUCIÓN DE CONMUTACIÓN MULTICÁMARA</w:t>
      </w:r>
      <w:r>
        <w:rPr>
          <w:rFonts w:ascii="Arial" w:eastAsia="Arial" w:hAnsi="Arial" w:cs="Arial"/>
          <w:sz w:val="20"/>
          <w:szCs w:val="20"/>
        </w:rPr>
        <w:t xml:space="preserve"> , documento que el proponente podrá consultar para efectos de la estructuración de su oferta. </w:t>
      </w:r>
    </w:p>
    <w:p w14:paraId="4E92189F" w14:textId="77777777" w:rsidR="00BE6367" w:rsidRDefault="00C90F6A">
      <w:pPr>
        <w:numPr>
          <w:ilvl w:val="0"/>
          <w:numId w:val="14"/>
        </w:numPr>
        <w:spacing w:before="120" w:after="0" w:line="240" w:lineRule="auto"/>
        <w:jc w:val="both"/>
        <w:rPr>
          <w:rFonts w:ascii="Arial" w:eastAsia="Arial" w:hAnsi="Arial" w:cs="Arial"/>
          <w:i/>
          <w:iCs/>
          <w:sz w:val="20"/>
          <w:szCs w:val="20"/>
        </w:rPr>
      </w:pPr>
      <w:r>
        <w:rPr>
          <w:rFonts w:ascii="Arial" w:eastAsia="Arial" w:hAnsi="Arial" w:cs="Arial"/>
          <w:i/>
          <w:iCs/>
          <w:sz w:val="20"/>
          <w:szCs w:val="20"/>
        </w:rPr>
        <w:t>¿Grabación interna requerida?</w:t>
      </w:r>
    </w:p>
    <w:p w14:paraId="55C767FF"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5DED927A"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Sí, se requiere capacidad de grabación interna del equipo, conforme a lo indicado en la respuesta al numeral 2 de este mismo bloque, relativa a los modos de producción exigidos por la Entidad.</w:t>
      </w:r>
    </w:p>
    <w:p w14:paraId="7E194149" w14:textId="77777777" w:rsidR="00BE6367" w:rsidRDefault="00C90F6A">
      <w:pPr>
        <w:numPr>
          <w:ilvl w:val="0"/>
          <w:numId w:val="14"/>
        </w:numPr>
        <w:spacing w:before="120" w:after="0" w:line="240" w:lineRule="auto"/>
        <w:jc w:val="both"/>
        <w:rPr>
          <w:rFonts w:ascii="Arial" w:eastAsia="Arial" w:hAnsi="Arial" w:cs="Arial"/>
          <w:i/>
          <w:iCs/>
          <w:sz w:val="20"/>
          <w:szCs w:val="20"/>
        </w:rPr>
      </w:pPr>
      <w:r>
        <w:rPr>
          <w:rFonts w:ascii="Arial" w:eastAsia="Arial" w:hAnsi="Arial" w:cs="Arial"/>
          <w:i/>
          <w:iCs/>
          <w:sz w:val="20"/>
          <w:szCs w:val="20"/>
        </w:rPr>
        <w:t>¿Streaming RTMP requerido?</w:t>
      </w:r>
    </w:p>
    <w:p w14:paraId="29EA8E19"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265A233C"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Sí, se requiere capacidad de transmisión en vivo (streaming) mediante protocolo RTMP, conforme a lo indicado en la respuesta al numeral 2 de este mismo bloque, sin perjuicio de que el equipo pueda soportar protocolos adicionales de transmisión.</w:t>
      </w:r>
    </w:p>
    <w:p w14:paraId="6B067994" w14:textId="77777777" w:rsidR="00BE6367" w:rsidRDefault="00C90F6A">
      <w:pPr>
        <w:numPr>
          <w:ilvl w:val="0"/>
          <w:numId w:val="14"/>
        </w:numPr>
        <w:spacing w:before="120" w:after="0" w:line="240" w:lineRule="auto"/>
        <w:jc w:val="both"/>
        <w:rPr>
          <w:rFonts w:ascii="Arial" w:eastAsia="Arial" w:hAnsi="Arial" w:cs="Arial"/>
          <w:i/>
          <w:iCs/>
          <w:sz w:val="20"/>
          <w:szCs w:val="20"/>
        </w:rPr>
      </w:pPr>
      <w:r>
        <w:rPr>
          <w:rFonts w:ascii="Arial" w:eastAsia="Arial" w:hAnsi="Arial" w:cs="Arial"/>
          <w:i/>
          <w:iCs/>
          <w:sz w:val="20"/>
          <w:szCs w:val="20"/>
        </w:rPr>
        <w:t>¿Se requiere sistema tipo Blackmagic, Roland o equivalente?</w:t>
      </w:r>
    </w:p>
    <w:p w14:paraId="72731939" w14:textId="77777777" w:rsidR="00BE6367" w:rsidRDefault="00C90F6A">
      <w:pPr>
        <w:spacing w:before="120"/>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449BA6A7" w14:textId="77777777" w:rsidR="00BE6367" w:rsidRDefault="00C90F6A">
      <w:pPr>
        <w:spacing w:before="120"/>
        <w:jc w:val="both"/>
        <w:rPr>
          <w:rFonts w:ascii="Arial" w:eastAsia="Arial" w:hAnsi="Arial" w:cs="Arial"/>
          <w:sz w:val="20"/>
          <w:szCs w:val="20"/>
        </w:rPr>
      </w:pPr>
      <w:r>
        <w:rPr>
          <w:rFonts w:ascii="Arial" w:eastAsia="Arial" w:hAnsi="Arial" w:cs="Arial"/>
          <w:sz w:val="20"/>
          <w:szCs w:val="20"/>
        </w:rPr>
        <w:t>En aplicación de los principios de libre concurrencia y selección objetiva previstos en el artículo 5 de la Ley 1150 de 2007, el proceso se encuentra abierto para que los proponentes oferten equipos de cualquier fabricante, incluyendo pero sin limitarse a los mencionados, siempre que el equipo ofertado cumpla con la totalidad de los requisitos técnicos especificados en la ficha técnica del presente proceso.</w:t>
      </w:r>
    </w:p>
    <w:p w14:paraId="225533C1" w14:textId="77777777" w:rsidR="00BE6367" w:rsidRDefault="00C90F6A">
      <w:pPr>
        <w:spacing w:before="120"/>
        <w:jc w:val="both"/>
        <w:rPr>
          <w:rFonts w:ascii="Arial" w:eastAsia="Arial" w:hAnsi="Arial" w:cs="Arial"/>
          <w:i/>
          <w:iCs/>
          <w:sz w:val="20"/>
          <w:szCs w:val="20"/>
        </w:rPr>
      </w:pPr>
      <w:r>
        <w:rPr>
          <w:rFonts w:ascii="Arial" w:eastAsia="Arial" w:hAnsi="Arial" w:cs="Arial"/>
          <w:b/>
          <w:bCs/>
          <w:i/>
          <w:iCs/>
          <w:sz w:val="20"/>
          <w:szCs w:val="20"/>
        </w:rPr>
        <w:t>OBSERVACIÓN 11.</w:t>
      </w:r>
    </w:p>
    <w:p w14:paraId="39AF39D9"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t>ITEM 36. SISTEMA INTEGRADO DE VIDEOCONFERENCIA</w:t>
      </w:r>
    </w:p>
    <w:p w14:paraId="124AFF4B" w14:textId="77777777" w:rsidR="00BE6367" w:rsidRPr="00AA7016" w:rsidRDefault="00C90F6A">
      <w:pPr>
        <w:numPr>
          <w:ilvl w:val="0"/>
          <w:numId w:val="15"/>
        </w:numPr>
        <w:spacing w:before="120" w:after="0" w:line="240" w:lineRule="auto"/>
        <w:jc w:val="both"/>
        <w:rPr>
          <w:rFonts w:ascii="Arial" w:eastAsia="Arial" w:hAnsi="Arial" w:cs="Arial"/>
          <w:i/>
          <w:iCs/>
          <w:sz w:val="20"/>
          <w:szCs w:val="20"/>
          <w:lang w:val="pt-PT"/>
        </w:rPr>
      </w:pPr>
      <w:r w:rsidRPr="00AA7016">
        <w:rPr>
          <w:rFonts w:ascii="Arial" w:eastAsia="Arial" w:hAnsi="Arial" w:cs="Arial"/>
          <w:i/>
          <w:iCs/>
          <w:sz w:val="20"/>
          <w:szCs w:val="20"/>
          <w:lang w:val="pt-PT"/>
        </w:rPr>
        <w:t>¿Plataforma objetivo: Microsoft Teams Rooms, Zoom Rooms, Cisco o interoperabilidad?</w:t>
      </w:r>
    </w:p>
    <w:p w14:paraId="6230A255"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7ED078A8" w14:textId="77777777" w:rsidR="00BE6367" w:rsidRDefault="00C90F6A">
      <w:pPr>
        <w:spacing w:before="120" w:after="0" w:line="240" w:lineRule="auto"/>
        <w:jc w:val="both"/>
        <w:rPr>
          <w:rFonts w:ascii="Arial" w:eastAsia="Arial" w:hAnsi="Arial" w:cs="Arial"/>
          <w:i/>
          <w:iCs/>
          <w:sz w:val="20"/>
          <w:szCs w:val="20"/>
        </w:rPr>
      </w:pPr>
      <w:r>
        <w:rPr>
          <w:rFonts w:ascii="Arial" w:eastAsia="Arial" w:hAnsi="Arial" w:cs="Arial"/>
          <w:sz w:val="20"/>
          <w:szCs w:val="20"/>
        </w:rPr>
        <w:t xml:space="preserve">La información solicitada se encuentra especificada en la ficha técnica del proceso (FTP), correspondiente al ítem </w:t>
      </w:r>
      <w:r>
        <w:rPr>
          <w:rFonts w:ascii="Arial" w:eastAsia="Arial" w:hAnsi="Arial" w:cs="Arial"/>
          <w:b/>
          <w:bCs/>
          <w:i/>
          <w:iCs/>
          <w:sz w:val="20"/>
          <w:szCs w:val="20"/>
        </w:rPr>
        <w:t>SISTEMA INTEGRADO DE VIDEOCONFERENCIA</w:t>
      </w:r>
      <w:r>
        <w:rPr>
          <w:rFonts w:ascii="Arial" w:eastAsia="Arial" w:hAnsi="Arial" w:cs="Arial"/>
          <w:sz w:val="20"/>
          <w:szCs w:val="20"/>
        </w:rPr>
        <w:t xml:space="preserve"> , documento que el proponente podrá consultar para efectos de la estructuración de su oferta. </w:t>
      </w:r>
    </w:p>
    <w:p w14:paraId="1EB1C6CF" w14:textId="77777777" w:rsidR="00BE6367" w:rsidRDefault="00C90F6A">
      <w:pPr>
        <w:numPr>
          <w:ilvl w:val="0"/>
          <w:numId w:val="15"/>
        </w:numPr>
        <w:spacing w:before="120" w:after="0" w:line="240" w:lineRule="auto"/>
        <w:jc w:val="both"/>
        <w:rPr>
          <w:rFonts w:ascii="Arial" w:eastAsia="Arial" w:hAnsi="Arial" w:cs="Arial"/>
          <w:i/>
          <w:iCs/>
          <w:sz w:val="20"/>
          <w:szCs w:val="20"/>
        </w:rPr>
      </w:pPr>
      <w:r>
        <w:rPr>
          <w:rFonts w:ascii="Arial" w:eastAsia="Arial" w:hAnsi="Arial" w:cs="Arial"/>
          <w:i/>
          <w:iCs/>
          <w:sz w:val="20"/>
          <w:szCs w:val="20"/>
        </w:rPr>
        <w:t>¿Es para sala de audiencias o sala de reunión?</w:t>
      </w:r>
    </w:p>
    <w:p w14:paraId="2524BDC1"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0D9064B1"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 xml:space="preserve">El presente requerimiento de "Sistema Integrado de Videoconferencia" corresponde específicamente a la sala de audiencias. </w:t>
      </w:r>
    </w:p>
    <w:p w14:paraId="77738A07" w14:textId="77777777" w:rsidR="00BE6367" w:rsidRDefault="00C90F6A">
      <w:pPr>
        <w:numPr>
          <w:ilvl w:val="0"/>
          <w:numId w:val="15"/>
        </w:numPr>
        <w:spacing w:before="120" w:after="0" w:line="240" w:lineRule="auto"/>
        <w:jc w:val="both"/>
        <w:rPr>
          <w:rFonts w:ascii="Arial" w:eastAsia="Arial" w:hAnsi="Arial" w:cs="Arial"/>
          <w:i/>
          <w:iCs/>
          <w:sz w:val="20"/>
          <w:szCs w:val="20"/>
        </w:rPr>
      </w:pPr>
      <w:r>
        <w:rPr>
          <w:rFonts w:ascii="Arial" w:eastAsia="Arial" w:hAnsi="Arial" w:cs="Arial"/>
          <w:i/>
          <w:iCs/>
          <w:sz w:val="20"/>
          <w:szCs w:val="20"/>
        </w:rPr>
        <w:t>¿Cantidad máxima de participantes?</w:t>
      </w:r>
    </w:p>
    <w:p w14:paraId="2683236F"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0FF31A97"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Revisar respuesta #6 de la observación “</w:t>
      </w:r>
      <w:r>
        <w:rPr>
          <w:rFonts w:ascii="Arial" w:eastAsia="Arial" w:hAnsi="Arial" w:cs="Arial"/>
          <w:b/>
          <w:bCs/>
          <w:i/>
          <w:iCs/>
          <w:sz w:val="20"/>
          <w:szCs w:val="20"/>
          <w:u w:val="single"/>
        </w:rPr>
        <w:t>SOLUCIÓN AUDIOVISUAL A NIVEL GENERAL”</w:t>
      </w:r>
    </w:p>
    <w:p w14:paraId="7C4FCE58" w14:textId="77777777" w:rsidR="00BE6367" w:rsidRDefault="00C90F6A">
      <w:pPr>
        <w:numPr>
          <w:ilvl w:val="0"/>
          <w:numId w:val="15"/>
        </w:numPr>
        <w:spacing w:before="120" w:after="0" w:line="240" w:lineRule="auto"/>
        <w:jc w:val="both"/>
        <w:rPr>
          <w:rFonts w:ascii="Arial" w:eastAsia="Arial" w:hAnsi="Arial" w:cs="Arial"/>
          <w:i/>
          <w:iCs/>
          <w:sz w:val="20"/>
          <w:szCs w:val="20"/>
        </w:rPr>
      </w:pPr>
      <w:r>
        <w:rPr>
          <w:rFonts w:ascii="Arial" w:eastAsia="Arial" w:hAnsi="Arial" w:cs="Arial"/>
          <w:i/>
          <w:iCs/>
          <w:sz w:val="20"/>
          <w:szCs w:val="20"/>
        </w:rPr>
        <w:t>¿Tipo de licencia requerida?</w:t>
      </w:r>
    </w:p>
    <w:p w14:paraId="1CAC0EB7"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0FBD48FE" w14:textId="77777777" w:rsidR="00BE6367" w:rsidRDefault="00C90F6A">
      <w:pPr>
        <w:spacing w:before="120" w:after="0" w:line="240" w:lineRule="auto"/>
        <w:jc w:val="both"/>
        <w:rPr>
          <w:rFonts w:ascii="Arial" w:eastAsia="Arial" w:hAnsi="Arial" w:cs="Arial"/>
          <w:i/>
          <w:iCs/>
          <w:sz w:val="20"/>
          <w:szCs w:val="20"/>
        </w:rPr>
      </w:pPr>
      <w:r>
        <w:rPr>
          <w:rFonts w:ascii="Arial" w:eastAsia="Arial" w:hAnsi="Arial" w:cs="Arial"/>
          <w:sz w:val="20"/>
          <w:szCs w:val="20"/>
        </w:rPr>
        <w:t xml:space="preserve">La información solicitada se encuentra especificada en la ficha técnica del proceso (FTP), correspondiente al ítem </w:t>
      </w:r>
      <w:r>
        <w:rPr>
          <w:rFonts w:ascii="Arial" w:eastAsia="Arial" w:hAnsi="Arial" w:cs="Arial"/>
          <w:b/>
          <w:bCs/>
          <w:i/>
          <w:iCs/>
          <w:sz w:val="20"/>
          <w:szCs w:val="20"/>
        </w:rPr>
        <w:t>SISTEMA INTEGRADO DE VIDEOCONFERENCIA</w:t>
      </w:r>
      <w:r>
        <w:rPr>
          <w:rFonts w:ascii="Arial" w:eastAsia="Arial" w:hAnsi="Arial" w:cs="Arial"/>
          <w:sz w:val="20"/>
          <w:szCs w:val="20"/>
        </w:rPr>
        <w:t xml:space="preserve"> , documento que el proponente podrá consultar para efectos de la estructuración de su oferta.</w:t>
      </w:r>
    </w:p>
    <w:p w14:paraId="6BA5E8D3" w14:textId="77777777" w:rsidR="00BE6367" w:rsidRDefault="00C90F6A">
      <w:pPr>
        <w:numPr>
          <w:ilvl w:val="0"/>
          <w:numId w:val="15"/>
        </w:numPr>
        <w:spacing w:before="120" w:after="0" w:line="240" w:lineRule="auto"/>
        <w:jc w:val="both"/>
        <w:rPr>
          <w:rFonts w:ascii="Arial" w:eastAsia="Arial" w:hAnsi="Arial" w:cs="Arial"/>
          <w:i/>
          <w:iCs/>
          <w:sz w:val="20"/>
          <w:szCs w:val="20"/>
        </w:rPr>
      </w:pPr>
      <w:r>
        <w:rPr>
          <w:rFonts w:ascii="Arial" w:eastAsia="Arial" w:hAnsi="Arial" w:cs="Arial"/>
          <w:i/>
          <w:iCs/>
          <w:sz w:val="20"/>
          <w:szCs w:val="20"/>
        </w:rPr>
        <w:t>¿Se requiere BYOD?</w:t>
      </w:r>
    </w:p>
    <w:p w14:paraId="56E1DB77"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31AD44F7" w14:textId="77777777" w:rsidR="00BE6367" w:rsidRDefault="00C90F6A">
      <w:pPr>
        <w:spacing w:before="120" w:after="0" w:line="240" w:lineRule="auto"/>
        <w:jc w:val="both"/>
        <w:rPr>
          <w:rFonts w:ascii="Arial" w:eastAsia="Arial" w:hAnsi="Arial" w:cs="Arial"/>
          <w:i/>
          <w:iCs/>
          <w:sz w:val="20"/>
          <w:szCs w:val="20"/>
        </w:rPr>
      </w:pPr>
      <w:r>
        <w:rPr>
          <w:rFonts w:ascii="Arial" w:eastAsia="Arial" w:hAnsi="Arial" w:cs="Arial"/>
          <w:sz w:val="20"/>
          <w:szCs w:val="20"/>
        </w:rPr>
        <w:t>Si, el equipo debe contar con la funcionalidad BYOD</w:t>
      </w:r>
    </w:p>
    <w:p w14:paraId="5F3B7E50" w14:textId="77777777" w:rsidR="00BE6367" w:rsidRDefault="00C90F6A">
      <w:pPr>
        <w:numPr>
          <w:ilvl w:val="0"/>
          <w:numId w:val="15"/>
        </w:numPr>
        <w:spacing w:before="120" w:after="0" w:line="240" w:lineRule="auto"/>
        <w:jc w:val="both"/>
        <w:rPr>
          <w:rFonts w:ascii="Arial" w:eastAsia="Arial" w:hAnsi="Arial" w:cs="Arial"/>
          <w:i/>
          <w:iCs/>
          <w:sz w:val="20"/>
          <w:szCs w:val="20"/>
        </w:rPr>
      </w:pPr>
      <w:r>
        <w:rPr>
          <w:rFonts w:ascii="Arial" w:eastAsia="Arial" w:hAnsi="Arial" w:cs="Arial"/>
          <w:i/>
          <w:iCs/>
          <w:sz w:val="20"/>
          <w:szCs w:val="20"/>
        </w:rPr>
        <w:t>¿Existe integración con software de audiencias?</w:t>
      </w:r>
    </w:p>
    <w:p w14:paraId="0869A0F4"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lastRenderedPageBreak/>
        <w:t xml:space="preserve">RESPUESTA A OBSERVACIÓN: </w:t>
      </w:r>
    </w:p>
    <w:p w14:paraId="5750549B" w14:textId="77777777" w:rsidR="00BE6367" w:rsidRDefault="00C90F6A">
      <w:pPr>
        <w:spacing w:before="120" w:after="0" w:line="240" w:lineRule="auto"/>
        <w:jc w:val="both"/>
        <w:rPr>
          <w:rFonts w:ascii="Arial" w:eastAsia="Arial" w:hAnsi="Arial" w:cs="Arial"/>
          <w:i/>
          <w:iCs/>
          <w:sz w:val="20"/>
          <w:szCs w:val="20"/>
        </w:rPr>
      </w:pPr>
      <w:r>
        <w:rPr>
          <w:rFonts w:ascii="Arial" w:eastAsia="Arial" w:hAnsi="Arial" w:cs="Arial"/>
          <w:sz w:val="20"/>
          <w:szCs w:val="20"/>
        </w:rPr>
        <w:t>El proponente adjudicado debe garantizar la funcionalidad del sistema completo acorde a la FTP</w:t>
      </w:r>
    </w:p>
    <w:p w14:paraId="3FCA9F57" w14:textId="77777777" w:rsidR="00BE6367" w:rsidRDefault="00C90F6A">
      <w:pPr>
        <w:numPr>
          <w:ilvl w:val="0"/>
          <w:numId w:val="15"/>
        </w:numPr>
        <w:spacing w:before="120" w:after="0" w:line="240" w:lineRule="auto"/>
        <w:jc w:val="both"/>
        <w:rPr>
          <w:rFonts w:ascii="Arial" w:eastAsia="Arial" w:hAnsi="Arial" w:cs="Arial"/>
          <w:i/>
          <w:iCs/>
          <w:sz w:val="20"/>
          <w:szCs w:val="20"/>
        </w:rPr>
      </w:pPr>
      <w:r>
        <w:rPr>
          <w:rFonts w:ascii="Arial" w:eastAsia="Arial" w:hAnsi="Arial" w:cs="Arial"/>
          <w:i/>
          <w:iCs/>
          <w:sz w:val="20"/>
          <w:szCs w:val="20"/>
        </w:rPr>
        <w:t>¿La solución debe ser certificada para Microsoft Teams?</w:t>
      </w:r>
    </w:p>
    <w:p w14:paraId="5B4FAF0F"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1AFBC637" w14:textId="77777777" w:rsidR="00BE6367" w:rsidRDefault="00C90F6A">
      <w:pPr>
        <w:spacing w:before="120" w:after="0" w:line="240" w:lineRule="auto"/>
        <w:jc w:val="both"/>
        <w:rPr>
          <w:rFonts w:ascii="Arial" w:eastAsia="Arial" w:hAnsi="Arial" w:cs="Arial"/>
          <w:i/>
          <w:iCs/>
          <w:sz w:val="20"/>
          <w:szCs w:val="20"/>
        </w:rPr>
      </w:pPr>
      <w:r>
        <w:rPr>
          <w:rFonts w:ascii="Arial" w:eastAsia="Arial" w:hAnsi="Arial" w:cs="Arial"/>
          <w:sz w:val="20"/>
          <w:szCs w:val="20"/>
        </w:rPr>
        <w:t xml:space="preserve">La información solicitada se encuentra especificada en la ficha técnica del proceso (FTP), correspondiente al ítem </w:t>
      </w:r>
      <w:r>
        <w:rPr>
          <w:rFonts w:ascii="Arial" w:eastAsia="Arial" w:hAnsi="Arial" w:cs="Arial"/>
          <w:b/>
          <w:bCs/>
          <w:i/>
          <w:iCs/>
          <w:sz w:val="20"/>
          <w:szCs w:val="20"/>
        </w:rPr>
        <w:t>SISTEMA INTEGRADO DE VIDEOCONFERENCIA</w:t>
      </w:r>
      <w:r>
        <w:rPr>
          <w:rFonts w:ascii="Arial" w:eastAsia="Arial" w:hAnsi="Arial" w:cs="Arial"/>
          <w:sz w:val="20"/>
          <w:szCs w:val="20"/>
        </w:rPr>
        <w:t xml:space="preserve"> , documento que el proponente podrá consultar para efectos de la estructuración de su oferta.</w:t>
      </w:r>
    </w:p>
    <w:p w14:paraId="47EFF7CF" w14:textId="77777777" w:rsidR="00BE6367" w:rsidRDefault="00BE6367">
      <w:pPr>
        <w:spacing w:before="120"/>
        <w:jc w:val="both"/>
        <w:rPr>
          <w:rFonts w:ascii="Arial" w:eastAsia="Arial" w:hAnsi="Arial" w:cs="Arial"/>
          <w:b/>
          <w:bCs/>
          <w:i/>
          <w:iCs/>
          <w:sz w:val="20"/>
          <w:szCs w:val="20"/>
        </w:rPr>
      </w:pPr>
    </w:p>
    <w:p w14:paraId="5C029325" w14:textId="77777777" w:rsidR="00BE6367" w:rsidRDefault="00C90F6A">
      <w:pPr>
        <w:spacing w:before="120"/>
        <w:jc w:val="both"/>
        <w:rPr>
          <w:rFonts w:ascii="Arial" w:eastAsia="Arial" w:hAnsi="Arial" w:cs="Arial"/>
          <w:i/>
          <w:iCs/>
          <w:sz w:val="20"/>
          <w:szCs w:val="20"/>
        </w:rPr>
      </w:pPr>
      <w:r>
        <w:rPr>
          <w:rFonts w:ascii="Arial" w:eastAsia="Arial" w:hAnsi="Arial" w:cs="Arial"/>
          <w:b/>
          <w:bCs/>
          <w:i/>
          <w:iCs/>
          <w:sz w:val="20"/>
          <w:szCs w:val="20"/>
        </w:rPr>
        <w:t>OBSERVACIÓN 12.</w:t>
      </w:r>
    </w:p>
    <w:p w14:paraId="69D3CF33"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t>ITEM 37. Altavoz Profesional (60 unidades)</w:t>
      </w:r>
    </w:p>
    <w:p w14:paraId="7DC0D2C8" w14:textId="77777777" w:rsidR="00BE6367" w:rsidRDefault="00C90F6A">
      <w:pPr>
        <w:numPr>
          <w:ilvl w:val="0"/>
          <w:numId w:val="16"/>
        </w:numPr>
        <w:spacing w:before="120" w:after="0" w:line="240" w:lineRule="auto"/>
        <w:jc w:val="both"/>
        <w:rPr>
          <w:rFonts w:ascii="Arial" w:eastAsia="Arial" w:hAnsi="Arial" w:cs="Arial"/>
          <w:i/>
          <w:iCs/>
          <w:sz w:val="20"/>
          <w:szCs w:val="20"/>
        </w:rPr>
      </w:pPr>
      <w:r>
        <w:rPr>
          <w:rFonts w:ascii="Arial" w:eastAsia="Arial" w:hAnsi="Arial" w:cs="Arial"/>
          <w:i/>
          <w:iCs/>
          <w:sz w:val="20"/>
          <w:szCs w:val="20"/>
        </w:rPr>
        <w:t>¿Son parlantes de techo, superficie, columna o line array?</w:t>
      </w:r>
    </w:p>
    <w:p w14:paraId="69633B24"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1EE0B0EB" w14:textId="77777777" w:rsidR="00BE6367" w:rsidRDefault="00C90F6A">
      <w:pPr>
        <w:spacing w:before="120" w:after="0" w:line="240" w:lineRule="auto"/>
        <w:jc w:val="both"/>
        <w:rPr>
          <w:rFonts w:ascii="Arial" w:eastAsia="Arial" w:hAnsi="Arial" w:cs="Arial"/>
          <w:i/>
          <w:iCs/>
          <w:sz w:val="20"/>
          <w:szCs w:val="20"/>
        </w:rPr>
      </w:pPr>
      <w:r>
        <w:rPr>
          <w:rFonts w:ascii="Arial" w:eastAsia="Arial" w:hAnsi="Arial" w:cs="Arial"/>
          <w:sz w:val="20"/>
          <w:szCs w:val="20"/>
        </w:rPr>
        <w:t xml:space="preserve">El "Altavoz Profesional" no corresponde a un sistema de parlantería de techo, superficie, columna o line array, propio de sistemas de reforzamiento de sonido ambiental, sino a un dispositivo tipo conferencia, que integra en un único equipo micrófono y altavoz, destinado a la captación y reproducción de audio en escenarios de videoconferencia </w:t>
      </w:r>
    </w:p>
    <w:p w14:paraId="2CEFDCDF" w14:textId="77777777" w:rsidR="00BE6367" w:rsidRDefault="00C90F6A">
      <w:pPr>
        <w:numPr>
          <w:ilvl w:val="0"/>
          <w:numId w:val="16"/>
        </w:numPr>
        <w:spacing w:before="120" w:after="0" w:line="240" w:lineRule="auto"/>
        <w:jc w:val="both"/>
        <w:rPr>
          <w:rFonts w:ascii="Arial" w:eastAsia="Arial" w:hAnsi="Arial" w:cs="Arial"/>
          <w:i/>
          <w:iCs/>
          <w:sz w:val="20"/>
          <w:szCs w:val="20"/>
        </w:rPr>
      </w:pPr>
      <w:r>
        <w:rPr>
          <w:rFonts w:ascii="Arial" w:eastAsia="Arial" w:hAnsi="Arial" w:cs="Arial"/>
          <w:i/>
          <w:iCs/>
          <w:sz w:val="20"/>
          <w:szCs w:val="20"/>
        </w:rPr>
        <w:t>¿Potencia requerida?</w:t>
      </w:r>
    </w:p>
    <w:p w14:paraId="08F92504"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590DC14D"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sz w:val="20"/>
          <w:szCs w:val="20"/>
        </w:rPr>
        <w:t xml:space="preserve">La información solicitada se encuentra especificada en la ficha técnica del proceso (FTP), correspondiente al ítem </w:t>
      </w:r>
      <w:r>
        <w:rPr>
          <w:rFonts w:ascii="Arial" w:eastAsia="Arial" w:hAnsi="Arial" w:cs="Arial"/>
          <w:b/>
          <w:bCs/>
          <w:i/>
          <w:iCs/>
          <w:sz w:val="20"/>
          <w:szCs w:val="20"/>
        </w:rPr>
        <w:t>Altavoz Profesional</w:t>
      </w:r>
      <w:r>
        <w:rPr>
          <w:rFonts w:ascii="Arial" w:eastAsia="Arial" w:hAnsi="Arial" w:cs="Arial"/>
          <w:sz w:val="20"/>
          <w:szCs w:val="20"/>
        </w:rPr>
        <w:t xml:space="preserve"> , documento que el proponente podrá consultar para efectos de la estructuración de su oferta.</w:t>
      </w:r>
    </w:p>
    <w:p w14:paraId="7FBD7F4F" w14:textId="77777777" w:rsidR="00BE6367" w:rsidRDefault="00C90F6A">
      <w:pPr>
        <w:numPr>
          <w:ilvl w:val="0"/>
          <w:numId w:val="16"/>
        </w:numPr>
        <w:spacing w:before="120" w:after="0" w:line="240" w:lineRule="auto"/>
        <w:jc w:val="both"/>
        <w:rPr>
          <w:rFonts w:ascii="Arial" w:eastAsia="Arial" w:hAnsi="Arial" w:cs="Arial"/>
          <w:i/>
          <w:iCs/>
          <w:sz w:val="20"/>
          <w:szCs w:val="20"/>
        </w:rPr>
      </w:pPr>
      <w:r>
        <w:rPr>
          <w:rFonts w:ascii="Arial" w:eastAsia="Arial" w:hAnsi="Arial" w:cs="Arial"/>
          <w:i/>
          <w:iCs/>
          <w:sz w:val="20"/>
          <w:szCs w:val="20"/>
        </w:rPr>
        <w:t>¿Cobertura requerida?</w:t>
      </w:r>
    </w:p>
    <w:p w14:paraId="23C9FFD3"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1767FA87"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sz w:val="20"/>
          <w:szCs w:val="20"/>
        </w:rPr>
        <w:t xml:space="preserve">La información solicitada se encuentra especificada en la ficha técnica del proceso (FTP), correspondiente al ítem </w:t>
      </w:r>
      <w:r>
        <w:rPr>
          <w:rFonts w:ascii="Arial" w:eastAsia="Arial" w:hAnsi="Arial" w:cs="Arial"/>
          <w:b/>
          <w:bCs/>
          <w:i/>
          <w:iCs/>
          <w:sz w:val="20"/>
          <w:szCs w:val="20"/>
        </w:rPr>
        <w:t>Altavoz Profesional</w:t>
      </w:r>
      <w:r>
        <w:rPr>
          <w:rFonts w:ascii="Arial" w:eastAsia="Arial" w:hAnsi="Arial" w:cs="Arial"/>
          <w:sz w:val="20"/>
          <w:szCs w:val="20"/>
        </w:rPr>
        <w:t xml:space="preserve"> , documento que el proponente podrá consultar para efectos de la estructuración de su oferta.</w:t>
      </w:r>
    </w:p>
    <w:p w14:paraId="0B02BB5A" w14:textId="77777777" w:rsidR="00BE6367" w:rsidRDefault="00BE6367">
      <w:pPr>
        <w:spacing w:before="120" w:after="0" w:line="240" w:lineRule="auto"/>
        <w:jc w:val="both"/>
        <w:rPr>
          <w:rFonts w:ascii="Arial" w:eastAsia="Arial" w:hAnsi="Arial" w:cs="Arial"/>
          <w:sz w:val="20"/>
          <w:szCs w:val="20"/>
        </w:rPr>
      </w:pPr>
    </w:p>
    <w:p w14:paraId="02DA28EA" w14:textId="77777777" w:rsidR="00BE6367" w:rsidRDefault="00C90F6A">
      <w:pPr>
        <w:numPr>
          <w:ilvl w:val="0"/>
          <w:numId w:val="16"/>
        </w:numPr>
        <w:spacing w:before="120" w:after="0" w:line="240" w:lineRule="auto"/>
        <w:jc w:val="both"/>
        <w:rPr>
          <w:rFonts w:ascii="Arial" w:eastAsia="Arial" w:hAnsi="Arial" w:cs="Arial"/>
          <w:i/>
          <w:iCs/>
          <w:sz w:val="20"/>
          <w:szCs w:val="20"/>
        </w:rPr>
      </w:pPr>
      <w:r>
        <w:rPr>
          <w:rFonts w:ascii="Arial" w:eastAsia="Arial" w:hAnsi="Arial" w:cs="Arial"/>
          <w:i/>
          <w:iCs/>
          <w:sz w:val="20"/>
          <w:szCs w:val="20"/>
        </w:rPr>
        <w:t>¿Color requerido?</w:t>
      </w:r>
    </w:p>
    <w:p w14:paraId="06605BD9"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39B04836"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sz w:val="20"/>
          <w:szCs w:val="20"/>
        </w:rPr>
        <w:t>El color del equipo debe ser negro</w:t>
      </w:r>
    </w:p>
    <w:p w14:paraId="3ACF08D0" w14:textId="77777777" w:rsidR="00BE6367" w:rsidRDefault="00C90F6A">
      <w:pPr>
        <w:numPr>
          <w:ilvl w:val="0"/>
          <w:numId w:val="16"/>
        </w:numPr>
        <w:spacing w:before="120" w:after="0" w:line="240" w:lineRule="auto"/>
        <w:jc w:val="both"/>
        <w:rPr>
          <w:rFonts w:ascii="Arial" w:eastAsia="Arial" w:hAnsi="Arial" w:cs="Arial"/>
          <w:i/>
          <w:iCs/>
          <w:sz w:val="20"/>
          <w:szCs w:val="20"/>
        </w:rPr>
      </w:pPr>
      <w:r>
        <w:rPr>
          <w:rFonts w:ascii="Arial" w:eastAsia="Arial" w:hAnsi="Arial" w:cs="Arial"/>
          <w:i/>
          <w:iCs/>
          <w:sz w:val="20"/>
          <w:szCs w:val="20"/>
        </w:rPr>
        <w:t>¿Aplicación para voz o multimedia?</w:t>
      </w:r>
    </w:p>
    <w:p w14:paraId="3391EFE0"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00AC35D4" w14:textId="77777777" w:rsidR="00BE6367" w:rsidRDefault="00C90F6A">
      <w:pPr>
        <w:spacing w:before="120" w:after="0" w:line="240" w:lineRule="auto"/>
        <w:jc w:val="both"/>
        <w:rPr>
          <w:rFonts w:ascii="Arial" w:eastAsia="Arial" w:hAnsi="Arial" w:cs="Arial"/>
          <w:i/>
          <w:iCs/>
          <w:sz w:val="20"/>
          <w:szCs w:val="20"/>
        </w:rPr>
      </w:pPr>
      <w:r>
        <w:rPr>
          <w:rFonts w:ascii="Arial" w:eastAsia="Arial" w:hAnsi="Arial" w:cs="Arial"/>
          <w:sz w:val="20"/>
          <w:szCs w:val="20"/>
        </w:rPr>
        <w:t>Aplicación para voz</w:t>
      </w:r>
    </w:p>
    <w:p w14:paraId="6999A422" w14:textId="77777777" w:rsidR="00BE6367" w:rsidRDefault="00C90F6A">
      <w:pPr>
        <w:spacing w:before="120"/>
        <w:jc w:val="both"/>
        <w:rPr>
          <w:rFonts w:ascii="Arial" w:eastAsia="Arial" w:hAnsi="Arial" w:cs="Arial"/>
          <w:i/>
          <w:iCs/>
          <w:sz w:val="20"/>
          <w:szCs w:val="20"/>
        </w:rPr>
      </w:pPr>
      <w:r>
        <w:rPr>
          <w:rFonts w:ascii="Arial" w:eastAsia="Arial" w:hAnsi="Arial" w:cs="Arial"/>
          <w:b/>
          <w:bCs/>
          <w:i/>
          <w:iCs/>
          <w:sz w:val="20"/>
          <w:szCs w:val="20"/>
        </w:rPr>
        <w:t>OBSERVACIÓN 13.</w:t>
      </w:r>
    </w:p>
    <w:p w14:paraId="463AAD4E"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t>ITEM 38. Solución Completa de Video (60 unidades)</w:t>
      </w:r>
    </w:p>
    <w:p w14:paraId="54175F6D" w14:textId="77777777" w:rsidR="00BE6367" w:rsidRPr="00AA7016" w:rsidRDefault="00C90F6A">
      <w:pPr>
        <w:jc w:val="both"/>
        <w:rPr>
          <w:rFonts w:ascii="Arial" w:eastAsia="Arial" w:hAnsi="Arial" w:cs="Arial"/>
          <w:i/>
          <w:iCs/>
          <w:sz w:val="20"/>
          <w:szCs w:val="20"/>
          <w:lang w:val="pt-PT"/>
        </w:rPr>
      </w:pPr>
      <w:r w:rsidRPr="00AA7016">
        <w:rPr>
          <w:rFonts w:ascii="Arial" w:eastAsia="Arial" w:hAnsi="Arial" w:cs="Arial"/>
          <w:i/>
          <w:iCs/>
          <w:sz w:val="20"/>
          <w:szCs w:val="20"/>
          <w:lang w:val="pt-PT"/>
        </w:rPr>
        <w:t>¿Plataforma objetivo: Microsoft Teams Rooms, Zoom Rooms, Cisco o interoperabilidad?</w:t>
      </w:r>
    </w:p>
    <w:p w14:paraId="1FB4CD7D"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763BF5AB"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 xml:space="preserve">Las especificaciones técnicas mínimas, se encuentran en la ficha técnica de producto. </w:t>
      </w:r>
    </w:p>
    <w:p w14:paraId="754CA956" w14:textId="77777777" w:rsidR="00BE6367" w:rsidRDefault="00BE6367">
      <w:pPr>
        <w:spacing w:before="120" w:after="0" w:line="240" w:lineRule="auto"/>
        <w:jc w:val="both"/>
        <w:rPr>
          <w:rFonts w:ascii="Arial" w:eastAsia="Arial" w:hAnsi="Arial" w:cs="Arial"/>
          <w:b/>
          <w:bCs/>
          <w:i/>
          <w:iCs/>
          <w:sz w:val="20"/>
          <w:szCs w:val="20"/>
        </w:rPr>
      </w:pPr>
    </w:p>
    <w:p w14:paraId="19095124" w14:textId="77777777" w:rsidR="00BE6367" w:rsidRDefault="00C90F6A">
      <w:pPr>
        <w:spacing w:before="120" w:after="0" w:line="240" w:lineRule="auto"/>
        <w:jc w:val="both"/>
        <w:rPr>
          <w:rFonts w:ascii="Arial" w:eastAsia="Arial" w:hAnsi="Arial" w:cs="Arial"/>
          <w:i/>
          <w:iCs/>
          <w:sz w:val="20"/>
          <w:szCs w:val="20"/>
        </w:rPr>
      </w:pPr>
      <w:r>
        <w:rPr>
          <w:rFonts w:ascii="Arial" w:eastAsia="Arial" w:hAnsi="Arial" w:cs="Arial"/>
          <w:b/>
          <w:bCs/>
          <w:i/>
          <w:iCs/>
          <w:sz w:val="20"/>
          <w:szCs w:val="20"/>
        </w:rPr>
        <w:t>OBSERVACIÓN 14.</w:t>
      </w:r>
    </w:p>
    <w:p w14:paraId="157A8029"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lastRenderedPageBreak/>
        <w:t>ITEM 39 AL 42 SISTEMA DE CONFERENCIAS, UNIDAD CENTRAL, MICRÓFONOS, UNIDAD PRESIDENTE, UNIDAD DELEGADO</w:t>
      </w:r>
    </w:p>
    <w:p w14:paraId="17937392" w14:textId="77777777" w:rsidR="00BE6367" w:rsidRDefault="00C90F6A">
      <w:pPr>
        <w:numPr>
          <w:ilvl w:val="0"/>
          <w:numId w:val="17"/>
        </w:numPr>
        <w:spacing w:before="120" w:after="0" w:line="240" w:lineRule="auto"/>
        <w:jc w:val="both"/>
        <w:rPr>
          <w:rFonts w:ascii="Arial" w:eastAsia="Arial" w:hAnsi="Arial" w:cs="Arial"/>
          <w:i/>
          <w:iCs/>
          <w:sz w:val="20"/>
          <w:szCs w:val="20"/>
        </w:rPr>
      </w:pPr>
      <w:r>
        <w:rPr>
          <w:rFonts w:ascii="Arial" w:eastAsia="Arial" w:hAnsi="Arial" w:cs="Arial"/>
          <w:i/>
          <w:iCs/>
          <w:sz w:val="20"/>
          <w:szCs w:val="20"/>
        </w:rPr>
        <w:t>¿Sistema cableado o inalámbrico?</w:t>
      </w:r>
    </w:p>
    <w:p w14:paraId="0EC5773E" w14:textId="77777777" w:rsidR="00BE6367" w:rsidRDefault="00C90F6A">
      <w:pPr>
        <w:numPr>
          <w:ilvl w:val="0"/>
          <w:numId w:val="17"/>
        </w:numPr>
        <w:spacing w:before="120" w:after="0" w:line="240" w:lineRule="auto"/>
        <w:jc w:val="both"/>
        <w:rPr>
          <w:rFonts w:ascii="Arial" w:eastAsia="Arial" w:hAnsi="Arial" w:cs="Arial"/>
          <w:i/>
          <w:iCs/>
          <w:sz w:val="20"/>
          <w:szCs w:val="20"/>
        </w:rPr>
      </w:pPr>
      <w:r>
        <w:rPr>
          <w:rFonts w:ascii="Arial" w:eastAsia="Arial" w:hAnsi="Arial" w:cs="Arial"/>
          <w:i/>
          <w:iCs/>
          <w:sz w:val="20"/>
          <w:szCs w:val="20"/>
        </w:rPr>
        <w:t>¿Se reDante?</w:t>
      </w:r>
    </w:p>
    <w:p w14:paraId="487C38C6" w14:textId="77777777" w:rsidR="00BE6367" w:rsidRDefault="00C90F6A">
      <w:pPr>
        <w:numPr>
          <w:ilvl w:val="0"/>
          <w:numId w:val="17"/>
        </w:numPr>
        <w:spacing w:before="120" w:after="0" w:line="240" w:lineRule="auto"/>
        <w:jc w:val="both"/>
        <w:rPr>
          <w:rFonts w:ascii="Arial" w:eastAsia="Arial" w:hAnsi="Arial" w:cs="Arial"/>
          <w:i/>
          <w:iCs/>
          <w:sz w:val="20"/>
          <w:szCs w:val="20"/>
        </w:rPr>
      </w:pPr>
      <w:r>
        <w:rPr>
          <w:rFonts w:ascii="Arial" w:eastAsia="Arial" w:hAnsi="Arial" w:cs="Arial"/>
          <w:i/>
          <w:iCs/>
          <w:sz w:val="20"/>
          <w:szCs w:val="20"/>
        </w:rPr>
        <w:t>¿Cantidad máximaquiere  futura?</w:t>
      </w:r>
    </w:p>
    <w:p w14:paraId="609AE70F" w14:textId="77777777" w:rsidR="00BE6367" w:rsidRDefault="00C90F6A">
      <w:pPr>
        <w:numPr>
          <w:ilvl w:val="0"/>
          <w:numId w:val="17"/>
        </w:numPr>
        <w:spacing w:before="120" w:after="0" w:line="240" w:lineRule="auto"/>
        <w:jc w:val="both"/>
        <w:rPr>
          <w:rFonts w:ascii="Arial" w:eastAsia="Arial" w:hAnsi="Arial" w:cs="Arial"/>
          <w:i/>
          <w:iCs/>
          <w:sz w:val="20"/>
          <w:szCs w:val="20"/>
        </w:rPr>
      </w:pPr>
      <w:r>
        <w:rPr>
          <w:rFonts w:ascii="Arial" w:eastAsia="Arial" w:hAnsi="Arial" w:cs="Arial"/>
          <w:i/>
          <w:iCs/>
          <w:sz w:val="20"/>
          <w:szCs w:val="20"/>
        </w:rPr>
        <w:t>¿Grabación interna?</w:t>
      </w:r>
    </w:p>
    <w:p w14:paraId="319F1034" w14:textId="77777777" w:rsidR="00BE6367" w:rsidRDefault="00C90F6A">
      <w:pPr>
        <w:numPr>
          <w:ilvl w:val="0"/>
          <w:numId w:val="17"/>
        </w:numPr>
        <w:spacing w:before="120" w:after="0" w:line="240" w:lineRule="auto"/>
        <w:jc w:val="both"/>
        <w:rPr>
          <w:rFonts w:ascii="Arial" w:eastAsia="Arial" w:hAnsi="Arial" w:cs="Arial"/>
          <w:i/>
          <w:iCs/>
          <w:sz w:val="20"/>
          <w:szCs w:val="20"/>
        </w:rPr>
      </w:pPr>
      <w:r>
        <w:rPr>
          <w:rFonts w:ascii="Arial" w:eastAsia="Arial" w:hAnsi="Arial" w:cs="Arial"/>
          <w:i/>
          <w:iCs/>
          <w:sz w:val="20"/>
          <w:szCs w:val="20"/>
        </w:rPr>
        <w:t>¿Idioma de interpretación simultánea?</w:t>
      </w:r>
    </w:p>
    <w:p w14:paraId="3E3D67FE" w14:textId="77777777" w:rsidR="00BE6367" w:rsidRDefault="00C90F6A">
      <w:pPr>
        <w:numPr>
          <w:ilvl w:val="0"/>
          <w:numId w:val="17"/>
        </w:numPr>
        <w:spacing w:before="120" w:after="0" w:line="240" w:lineRule="auto"/>
        <w:jc w:val="both"/>
        <w:rPr>
          <w:rFonts w:ascii="Arial" w:eastAsia="Arial" w:hAnsi="Arial" w:cs="Arial"/>
          <w:i/>
          <w:iCs/>
          <w:sz w:val="20"/>
          <w:szCs w:val="20"/>
        </w:rPr>
      </w:pPr>
      <w:r>
        <w:rPr>
          <w:rFonts w:ascii="Arial" w:eastAsia="Arial" w:hAnsi="Arial" w:cs="Arial"/>
          <w:i/>
          <w:iCs/>
          <w:sz w:val="20"/>
          <w:szCs w:val="20"/>
        </w:rPr>
        <w:t>¿Votación electrónica?</w:t>
      </w:r>
    </w:p>
    <w:p w14:paraId="54CB5197" w14:textId="77777777" w:rsidR="00BE6367" w:rsidRDefault="00C90F6A">
      <w:pPr>
        <w:numPr>
          <w:ilvl w:val="0"/>
          <w:numId w:val="17"/>
        </w:numPr>
        <w:spacing w:before="120" w:after="0" w:line="240" w:lineRule="auto"/>
        <w:jc w:val="both"/>
        <w:rPr>
          <w:rFonts w:ascii="Arial" w:eastAsia="Arial" w:hAnsi="Arial" w:cs="Arial"/>
          <w:i/>
          <w:iCs/>
          <w:sz w:val="20"/>
          <w:szCs w:val="20"/>
        </w:rPr>
      </w:pPr>
      <w:r>
        <w:rPr>
          <w:rFonts w:ascii="Arial" w:eastAsia="Arial" w:hAnsi="Arial" w:cs="Arial"/>
          <w:i/>
          <w:iCs/>
          <w:sz w:val="20"/>
          <w:szCs w:val="20"/>
        </w:rPr>
        <w:t>¿Identificación biométrica?</w:t>
      </w:r>
    </w:p>
    <w:p w14:paraId="1705F14A" w14:textId="77777777" w:rsidR="00BE6367" w:rsidRDefault="00C90F6A">
      <w:pPr>
        <w:numPr>
          <w:ilvl w:val="0"/>
          <w:numId w:val="17"/>
        </w:numPr>
        <w:spacing w:before="120" w:after="0" w:line="240" w:lineRule="auto"/>
        <w:jc w:val="both"/>
        <w:rPr>
          <w:rFonts w:ascii="Arial" w:eastAsia="Arial" w:hAnsi="Arial" w:cs="Arial"/>
          <w:i/>
          <w:iCs/>
          <w:sz w:val="20"/>
          <w:szCs w:val="20"/>
        </w:rPr>
      </w:pPr>
      <w:r>
        <w:rPr>
          <w:rFonts w:ascii="Arial" w:eastAsia="Arial" w:hAnsi="Arial" w:cs="Arial"/>
          <w:i/>
          <w:iCs/>
          <w:sz w:val="20"/>
          <w:szCs w:val="20"/>
        </w:rPr>
        <w:t>¿Integración con software de audiencias?</w:t>
      </w:r>
    </w:p>
    <w:p w14:paraId="5A0658C8"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4088D3A3"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sz w:val="20"/>
          <w:szCs w:val="20"/>
        </w:rPr>
        <w:t>La información técnica solicitada se encuentra especificada en la ficha técnica del proceso (FTP) , documento que el proponente podrá consultar para efectos de la estructuración de su oferta.</w:t>
      </w:r>
    </w:p>
    <w:p w14:paraId="5C2BEC08" w14:textId="77777777" w:rsidR="00BE6367" w:rsidRDefault="00BE6367">
      <w:pPr>
        <w:spacing w:before="120" w:after="0" w:line="240" w:lineRule="auto"/>
        <w:jc w:val="both"/>
        <w:rPr>
          <w:rFonts w:ascii="Arial" w:eastAsia="Arial" w:hAnsi="Arial" w:cs="Arial"/>
          <w:sz w:val="20"/>
          <w:szCs w:val="20"/>
        </w:rPr>
      </w:pPr>
    </w:p>
    <w:p w14:paraId="1C0AC441" w14:textId="77777777" w:rsidR="00BE6367" w:rsidRDefault="00BE6367">
      <w:pPr>
        <w:spacing w:before="120" w:after="0" w:line="240" w:lineRule="auto"/>
        <w:jc w:val="both"/>
        <w:rPr>
          <w:rFonts w:ascii="Arial" w:eastAsia="Arial" w:hAnsi="Arial" w:cs="Arial"/>
          <w:sz w:val="20"/>
          <w:szCs w:val="20"/>
        </w:rPr>
      </w:pPr>
    </w:p>
    <w:p w14:paraId="6417A0D1" w14:textId="77777777" w:rsidR="00BE6367" w:rsidRDefault="00C90F6A">
      <w:pPr>
        <w:spacing w:before="120"/>
        <w:jc w:val="both"/>
        <w:rPr>
          <w:rFonts w:ascii="Arial" w:eastAsia="Arial" w:hAnsi="Arial" w:cs="Arial"/>
          <w:i/>
          <w:iCs/>
          <w:sz w:val="20"/>
          <w:szCs w:val="20"/>
        </w:rPr>
      </w:pPr>
      <w:r>
        <w:rPr>
          <w:rFonts w:ascii="Arial" w:eastAsia="Arial" w:hAnsi="Arial" w:cs="Arial"/>
          <w:b/>
          <w:bCs/>
          <w:i/>
          <w:iCs/>
          <w:sz w:val="20"/>
          <w:szCs w:val="20"/>
        </w:rPr>
        <w:t>OBSERVACIÓN 15</w:t>
      </w:r>
    </w:p>
    <w:p w14:paraId="79815C65"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t>ITEM 43. PROCESADOR DSP</w:t>
      </w:r>
    </w:p>
    <w:p w14:paraId="72C29329" w14:textId="77777777" w:rsidR="00BE6367" w:rsidRDefault="00C90F6A">
      <w:pPr>
        <w:numPr>
          <w:ilvl w:val="0"/>
          <w:numId w:val="18"/>
        </w:numPr>
        <w:spacing w:before="120" w:after="0" w:line="240" w:lineRule="auto"/>
        <w:jc w:val="both"/>
        <w:rPr>
          <w:rFonts w:ascii="Arial" w:eastAsia="Arial" w:hAnsi="Arial" w:cs="Arial"/>
          <w:i/>
          <w:iCs/>
          <w:sz w:val="20"/>
          <w:szCs w:val="20"/>
        </w:rPr>
      </w:pPr>
      <w:r>
        <w:rPr>
          <w:rFonts w:ascii="Arial" w:eastAsia="Arial" w:hAnsi="Arial" w:cs="Arial"/>
          <w:i/>
          <w:iCs/>
          <w:sz w:val="20"/>
          <w:szCs w:val="20"/>
        </w:rPr>
        <w:t>¿Cantidad de entradas y salidas requeridas?</w:t>
      </w:r>
    </w:p>
    <w:p w14:paraId="2D94917E" w14:textId="77777777" w:rsidR="00BE6367" w:rsidRDefault="00C90F6A">
      <w:pPr>
        <w:numPr>
          <w:ilvl w:val="0"/>
          <w:numId w:val="18"/>
        </w:numPr>
        <w:spacing w:before="120" w:after="0" w:line="240" w:lineRule="auto"/>
        <w:jc w:val="both"/>
        <w:rPr>
          <w:rFonts w:ascii="Arial" w:eastAsia="Arial" w:hAnsi="Arial" w:cs="Arial"/>
          <w:i/>
          <w:iCs/>
          <w:sz w:val="20"/>
          <w:szCs w:val="20"/>
        </w:rPr>
      </w:pPr>
      <w:r>
        <w:rPr>
          <w:rFonts w:ascii="Arial" w:eastAsia="Arial" w:hAnsi="Arial" w:cs="Arial"/>
          <w:i/>
          <w:iCs/>
          <w:sz w:val="20"/>
          <w:szCs w:val="20"/>
        </w:rPr>
        <w:t>¿Dante obligatorio?</w:t>
      </w:r>
    </w:p>
    <w:p w14:paraId="379E6385" w14:textId="77777777" w:rsidR="00BE6367" w:rsidRDefault="00C90F6A">
      <w:pPr>
        <w:numPr>
          <w:ilvl w:val="0"/>
          <w:numId w:val="18"/>
        </w:numPr>
        <w:spacing w:before="120" w:after="0" w:line="240" w:lineRule="auto"/>
        <w:jc w:val="both"/>
        <w:rPr>
          <w:rFonts w:ascii="Arial" w:eastAsia="Arial" w:hAnsi="Arial" w:cs="Arial"/>
          <w:i/>
          <w:iCs/>
          <w:sz w:val="20"/>
          <w:szCs w:val="20"/>
        </w:rPr>
      </w:pPr>
      <w:r>
        <w:rPr>
          <w:rFonts w:ascii="Arial" w:eastAsia="Arial" w:hAnsi="Arial" w:cs="Arial"/>
          <w:i/>
          <w:iCs/>
          <w:sz w:val="20"/>
          <w:szCs w:val="20"/>
        </w:rPr>
        <w:t>¿AEC requerida?</w:t>
      </w:r>
    </w:p>
    <w:p w14:paraId="525CA980" w14:textId="77777777" w:rsidR="00BE6367" w:rsidRDefault="00C90F6A">
      <w:pPr>
        <w:numPr>
          <w:ilvl w:val="0"/>
          <w:numId w:val="18"/>
        </w:numPr>
        <w:spacing w:before="120" w:after="0" w:line="240" w:lineRule="auto"/>
        <w:jc w:val="both"/>
        <w:rPr>
          <w:rFonts w:ascii="Arial" w:eastAsia="Arial" w:hAnsi="Arial" w:cs="Arial"/>
          <w:i/>
          <w:iCs/>
          <w:sz w:val="20"/>
          <w:szCs w:val="20"/>
        </w:rPr>
      </w:pPr>
      <w:r>
        <w:rPr>
          <w:rFonts w:ascii="Arial" w:eastAsia="Arial" w:hAnsi="Arial" w:cs="Arial"/>
          <w:i/>
          <w:iCs/>
          <w:sz w:val="20"/>
          <w:szCs w:val="20"/>
        </w:rPr>
        <w:t>¿Control mediante terceros?</w:t>
      </w:r>
    </w:p>
    <w:p w14:paraId="47DF7894" w14:textId="77777777" w:rsidR="00BE6367" w:rsidRDefault="00C90F6A">
      <w:pPr>
        <w:numPr>
          <w:ilvl w:val="0"/>
          <w:numId w:val="18"/>
        </w:numPr>
        <w:spacing w:before="120" w:after="0" w:line="240" w:lineRule="auto"/>
        <w:jc w:val="both"/>
        <w:rPr>
          <w:rFonts w:ascii="Arial" w:eastAsia="Arial" w:hAnsi="Arial" w:cs="Arial"/>
          <w:i/>
          <w:iCs/>
          <w:sz w:val="20"/>
          <w:szCs w:val="20"/>
        </w:rPr>
      </w:pPr>
      <w:r>
        <w:rPr>
          <w:rFonts w:ascii="Arial" w:eastAsia="Arial" w:hAnsi="Arial" w:cs="Arial"/>
          <w:i/>
          <w:iCs/>
          <w:sz w:val="20"/>
          <w:szCs w:val="20"/>
        </w:rPr>
        <w:t>¿Se requiere arquitectura abierta?</w:t>
      </w:r>
    </w:p>
    <w:p w14:paraId="6321A0E0"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1C25ACC9"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La información solicitada se encuentra especificada en la ficha técnica del proceso (FTP) , documento que el proponente podrá consultar para efectos de la estructuración de su oferta.</w:t>
      </w:r>
    </w:p>
    <w:p w14:paraId="6C6254B6" w14:textId="77777777" w:rsidR="00BE6367" w:rsidRDefault="00BE6367">
      <w:pPr>
        <w:spacing w:before="120" w:after="0" w:line="240" w:lineRule="auto"/>
        <w:jc w:val="both"/>
        <w:rPr>
          <w:rFonts w:ascii="Arial" w:eastAsia="Arial" w:hAnsi="Arial" w:cs="Arial"/>
          <w:sz w:val="20"/>
          <w:szCs w:val="20"/>
        </w:rPr>
      </w:pPr>
    </w:p>
    <w:p w14:paraId="1358C514" w14:textId="77777777" w:rsidR="00BE6367" w:rsidRDefault="00C90F6A">
      <w:pPr>
        <w:spacing w:before="120"/>
        <w:jc w:val="both"/>
        <w:rPr>
          <w:rFonts w:ascii="Arial" w:eastAsia="Arial" w:hAnsi="Arial" w:cs="Arial"/>
          <w:i/>
          <w:iCs/>
          <w:sz w:val="20"/>
          <w:szCs w:val="20"/>
        </w:rPr>
      </w:pPr>
      <w:r>
        <w:rPr>
          <w:rFonts w:ascii="Arial" w:eastAsia="Arial" w:hAnsi="Arial" w:cs="Arial"/>
          <w:b/>
          <w:bCs/>
          <w:i/>
          <w:iCs/>
          <w:sz w:val="20"/>
          <w:szCs w:val="20"/>
        </w:rPr>
        <w:t>OBSERVACIÓN 16</w:t>
      </w:r>
    </w:p>
    <w:p w14:paraId="4F8D4697"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t>ITEM 44. AMPLIFICADORES</w:t>
      </w:r>
    </w:p>
    <w:p w14:paraId="79D9DCC7" w14:textId="77777777" w:rsidR="00BE6367" w:rsidRDefault="00C90F6A">
      <w:pPr>
        <w:numPr>
          <w:ilvl w:val="0"/>
          <w:numId w:val="19"/>
        </w:numPr>
        <w:spacing w:before="120" w:after="0" w:line="240" w:lineRule="auto"/>
        <w:jc w:val="both"/>
        <w:rPr>
          <w:rFonts w:ascii="Arial" w:eastAsia="Arial" w:hAnsi="Arial" w:cs="Arial"/>
          <w:i/>
          <w:iCs/>
          <w:sz w:val="20"/>
          <w:szCs w:val="20"/>
        </w:rPr>
      </w:pPr>
      <w:r>
        <w:rPr>
          <w:rFonts w:ascii="Arial" w:eastAsia="Arial" w:hAnsi="Arial" w:cs="Arial"/>
          <w:i/>
          <w:iCs/>
          <w:sz w:val="20"/>
          <w:szCs w:val="20"/>
        </w:rPr>
        <w:t>¿Potencia requerida?</w:t>
      </w:r>
    </w:p>
    <w:p w14:paraId="35F7BAE6" w14:textId="77777777" w:rsidR="00BE6367" w:rsidRDefault="00C90F6A">
      <w:pPr>
        <w:numPr>
          <w:ilvl w:val="0"/>
          <w:numId w:val="19"/>
        </w:numPr>
        <w:spacing w:before="120" w:after="0" w:line="240" w:lineRule="auto"/>
        <w:jc w:val="both"/>
        <w:rPr>
          <w:rFonts w:ascii="Arial" w:eastAsia="Arial" w:hAnsi="Arial" w:cs="Arial"/>
          <w:i/>
          <w:iCs/>
          <w:sz w:val="20"/>
          <w:szCs w:val="20"/>
        </w:rPr>
      </w:pPr>
      <w:r>
        <w:rPr>
          <w:rFonts w:ascii="Arial" w:eastAsia="Arial" w:hAnsi="Arial" w:cs="Arial"/>
          <w:i/>
          <w:iCs/>
          <w:sz w:val="20"/>
          <w:szCs w:val="20"/>
        </w:rPr>
        <w:t>¿70/100V o baja impedancia?</w:t>
      </w:r>
    </w:p>
    <w:p w14:paraId="7BC9E616" w14:textId="77777777" w:rsidR="00BE6367" w:rsidRDefault="00C90F6A">
      <w:pPr>
        <w:numPr>
          <w:ilvl w:val="0"/>
          <w:numId w:val="19"/>
        </w:numPr>
        <w:spacing w:before="120" w:after="0" w:line="240" w:lineRule="auto"/>
        <w:jc w:val="both"/>
        <w:rPr>
          <w:rFonts w:ascii="Arial" w:eastAsia="Arial" w:hAnsi="Arial" w:cs="Arial"/>
          <w:i/>
          <w:iCs/>
          <w:sz w:val="20"/>
          <w:szCs w:val="20"/>
        </w:rPr>
      </w:pPr>
      <w:r>
        <w:rPr>
          <w:rFonts w:ascii="Arial" w:eastAsia="Arial" w:hAnsi="Arial" w:cs="Arial"/>
          <w:i/>
          <w:iCs/>
          <w:sz w:val="20"/>
          <w:szCs w:val="20"/>
        </w:rPr>
        <w:t>¿Canales requeridos?</w:t>
      </w:r>
    </w:p>
    <w:p w14:paraId="0B8CE6B6" w14:textId="77777777" w:rsidR="00BE6367" w:rsidRDefault="00C90F6A">
      <w:pPr>
        <w:numPr>
          <w:ilvl w:val="0"/>
          <w:numId w:val="19"/>
        </w:numPr>
        <w:spacing w:before="120" w:after="0" w:line="240" w:lineRule="auto"/>
        <w:jc w:val="both"/>
        <w:rPr>
          <w:rFonts w:ascii="Arial" w:eastAsia="Arial" w:hAnsi="Arial" w:cs="Arial"/>
          <w:i/>
          <w:iCs/>
          <w:sz w:val="20"/>
          <w:szCs w:val="20"/>
        </w:rPr>
      </w:pPr>
      <w:r>
        <w:rPr>
          <w:rFonts w:ascii="Arial" w:eastAsia="Arial" w:hAnsi="Arial" w:cs="Arial"/>
          <w:i/>
          <w:iCs/>
          <w:sz w:val="20"/>
          <w:szCs w:val="20"/>
        </w:rPr>
        <w:t>¿Redundancia?</w:t>
      </w:r>
    </w:p>
    <w:p w14:paraId="377B8C64"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19C59B9E"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La información solicitada se encuentra especificada en la ficha técnica del proceso (FTP) , documento que el proponente podrá consultar para efectos de la estructuración de su oferta.</w:t>
      </w:r>
    </w:p>
    <w:p w14:paraId="4CEFB438" w14:textId="77777777" w:rsidR="00BE6367" w:rsidRDefault="00BE6367">
      <w:pPr>
        <w:spacing w:before="120" w:after="0" w:line="240" w:lineRule="auto"/>
        <w:jc w:val="both"/>
        <w:rPr>
          <w:rFonts w:ascii="Arial" w:eastAsia="Arial" w:hAnsi="Arial" w:cs="Arial"/>
          <w:sz w:val="20"/>
          <w:szCs w:val="20"/>
        </w:rPr>
      </w:pPr>
    </w:p>
    <w:p w14:paraId="22E1AE8C" w14:textId="77777777" w:rsidR="00BE6367" w:rsidRDefault="00C90F6A">
      <w:pPr>
        <w:spacing w:before="120"/>
        <w:jc w:val="both"/>
        <w:rPr>
          <w:rFonts w:ascii="Arial" w:eastAsia="Arial" w:hAnsi="Arial" w:cs="Arial"/>
          <w:i/>
          <w:iCs/>
          <w:sz w:val="20"/>
          <w:szCs w:val="20"/>
        </w:rPr>
      </w:pPr>
      <w:r>
        <w:rPr>
          <w:rFonts w:ascii="Arial" w:eastAsia="Arial" w:hAnsi="Arial" w:cs="Arial"/>
          <w:b/>
          <w:bCs/>
          <w:i/>
          <w:iCs/>
          <w:sz w:val="20"/>
          <w:szCs w:val="20"/>
        </w:rPr>
        <w:t>OBSERVACIÓN 17.</w:t>
      </w:r>
    </w:p>
    <w:p w14:paraId="46F20168"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t>ITEM 45. PARLANTES DE TECHO</w:t>
      </w:r>
    </w:p>
    <w:p w14:paraId="4D2CD6BC" w14:textId="77777777" w:rsidR="00BE6367" w:rsidRDefault="00C90F6A">
      <w:pPr>
        <w:numPr>
          <w:ilvl w:val="0"/>
          <w:numId w:val="20"/>
        </w:numPr>
        <w:spacing w:before="120" w:after="0" w:line="240" w:lineRule="auto"/>
        <w:jc w:val="both"/>
        <w:rPr>
          <w:rFonts w:ascii="Arial" w:eastAsia="Arial" w:hAnsi="Arial" w:cs="Arial"/>
          <w:i/>
          <w:iCs/>
          <w:sz w:val="20"/>
          <w:szCs w:val="20"/>
        </w:rPr>
      </w:pPr>
      <w:r>
        <w:rPr>
          <w:rFonts w:ascii="Arial" w:eastAsia="Arial" w:hAnsi="Arial" w:cs="Arial"/>
          <w:i/>
          <w:iCs/>
          <w:sz w:val="20"/>
          <w:szCs w:val="20"/>
        </w:rPr>
        <w:t>¿Potencia mínima?</w:t>
      </w:r>
    </w:p>
    <w:p w14:paraId="4C36CFF9" w14:textId="77777777" w:rsidR="00BE6367" w:rsidRDefault="00C90F6A">
      <w:pPr>
        <w:numPr>
          <w:ilvl w:val="0"/>
          <w:numId w:val="20"/>
        </w:numPr>
        <w:spacing w:before="120" w:after="0" w:line="240" w:lineRule="auto"/>
        <w:jc w:val="both"/>
        <w:rPr>
          <w:rFonts w:ascii="Arial" w:eastAsia="Arial" w:hAnsi="Arial" w:cs="Arial"/>
          <w:i/>
          <w:iCs/>
          <w:sz w:val="20"/>
          <w:szCs w:val="20"/>
        </w:rPr>
      </w:pPr>
      <w:r>
        <w:rPr>
          <w:rFonts w:ascii="Arial" w:eastAsia="Arial" w:hAnsi="Arial" w:cs="Arial"/>
          <w:i/>
          <w:iCs/>
          <w:sz w:val="20"/>
          <w:szCs w:val="20"/>
        </w:rPr>
        <w:lastRenderedPageBreak/>
        <w:t>¿Cobertura mínima?</w:t>
      </w:r>
    </w:p>
    <w:p w14:paraId="6DD56FF3" w14:textId="77777777" w:rsidR="00BE6367" w:rsidRDefault="00C90F6A">
      <w:pPr>
        <w:numPr>
          <w:ilvl w:val="0"/>
          <w:numId w:val="20"/>
        </w:numPr>
        <w:spacing w:before="120" w:after="0" w:line="240" w:lineRule="auto"/>
        <w:jc w:val="both"/>
        <w:rPr>
          <w:rFonts w:ascii="Arial" w:eastAsia="Arial" w:hAnsi="Arial" w:cs="Arial"/>
          <w:i/>
          <w:iCs/>
          <w:sz w:val="20"/>
          <w:szCs w:val="20"/>
        </w:rPr>
      </w:pPr>
      <w:r>
        <w:rPr>
          <w:rFonts w:ascii="Arial" w:eastAsia="Arial" w:hAnsi="Arial" w:cs="Arial"/>
          <w:i/>
          <w:iCs/>
          <w:sz w:val="20"/>
          <w:szCs w:val="20"/>
        </w:rPr>
        <w:t>¿Altura del techo?</w:t>
      </w:r>
    </w:p>
    <w:p w14:paraId="3034BE15" w14:textId="77777777" w:rsidR="00BE6367" w:rsidRDefault="00C90F6A">
      <w:pPr>
        <w:numPr>
          <w:ilvl w:val="0"/>
          <w:numId w:val="20"/>
        </w:numPr>
        <w:spacing w:before="120" w:after="0" w:line="240" w:lineRule="auto"/>
        <w:jc w:val="both"/>
        <w:rPr>
          <w:rFonts w:ascii="Arial" w:eastAsia="Arial" w:hAnsi="Arial" w:cs="Arial"/>
          <w:i/>
          <w:iCs/>
          <w:sz w:val="20"/>
          <w:szCs w:val="20"/>
        </w:rPr>
      </w:pPr>
      <w:r>
        <w:rPr>
          <w:rFonts w:ascii="Arial" w:eastAsia="Arial" w:hAnsi="Arial" w:cs="Arial"/>
          <w:i/>
          <w:iCs/>
          <w:sz w:val="20"/>
          <w:szCs w:val="20"/>
        </w:rPr>
        <w:t>¿Plenum rating requerido?</w:t>
      </w:r>
    </w:p>
    <w:p w14:paraId="726CE865"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571C5071"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 xml:space="preserve">La información solicitada se encuentra especificada en la ficha técnica del proceso (FTP), correspondiente al ítem </w:t>
      </w:r>
      <w:r>
        <w:rPr>
          <w:rFonts w:ascii="Arial" w:eastAsia="Arial" w:hAnsi="Arial" w:cs="Arial"/>
          <w:b/>
          <w:bCs/>
          <w:i/>
          <w:iCs/>
          <w:sz w:val="20"/>
          <w:szCs w:val="20"/>
        </w:rPr>
        <w:t>Parlante de techo</w:t>
      </w:r>
      <w:r>
        <w:rPr>
          <w:rFonts w:ascii="Arial" w:eastAsia="Arial" w:hAnsi="Arial" w:cs="Arial"/>
          <w:sz w:val="20"/>
          <w:szCs w:val="20"/>
        </w:rPr>
        <w:t>, documento que el proponente podrá consultar para efectos de la estructuración de su oferta.</w:t>
      </w:r>
    </w:p>
    <w:p w14:paraId="7446F2AA" w14:textId="77777777" w:rsidR="00BE6367" w:rsidRDefault="00BE6367">
      <w:pPr>
        <w:spacing w:before="120" w:after="0" w:line="240" w:lineRule="auto"/>
        <w:jc w:val="both"/>
        <w:rPr>
          <w:rFonts w:ascii="Arial" w:eastAsia="Arial" w:hAnsi="Arial" w:cs="Arial"/>
          <w:sz w:val="20"/>
          <w:szCs w:val="20"/>
        </w:rPr>
      </w:pPr>
    </w:p>
    <w:p w14:paraId="60D84803" w14:textId="77777777" w:rsidR="00BE6367" w:rsidRDefault="00C90F6A">
      <w:pPr>
        <w:spacing w:before="120"/>
        <w:jc w:val="both"/>
        <w:rPr>
          <w:rFonts w:ascii="Arial" w:eastAsia="Arial" w:hAnsi="Arial" w:cs="Arial"/>
          <w:i/>
          <w:iCs/>
          <w:sz w:val="20"/>
          <w:szCs w:val="20"/>
        </w:rPr>
      </w:pPr>
      <w:r>
        <w:rPr>
          <w:rFonts w:ascii="Arial" w:eastAsia="Arial" w:hAnsi="Arial" w:cs="Arial"/>
          <w:b/>
          <w:bCs/>
          <w:i/>
          <w:iCs/>
          <w:sz w:val="20"/>
          <w:szCs w:val="20"/>
        </w:rPr>
        <w:t>OBSERVACIÓN 18.</w:t>
      </w:r>
    </w:p>
    <w:p w14:paraId="644F766D"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t>ITEM 46. CONTROLADOR</w:t>
      </w:r>
    </w:p>
    <w:p w14:paraId="577F1D8C" w14:textId="77777777" w:rsidR="00BE6367" w:rsidRDefault="00C90F6A">
      <w:pPr>
        <w:numPr>
          <w:ilvl w:val="0"/>
          <w:numId w:val="21"/>
        </w:numPr>
        <w:spacing w:before="120" w:after="0" w:line="240" w:lineRule="auto"/>
        <w:jc w:val="both"/>
        <w:rPr>
          <w:rFonts w:ascii="Arial" w:eastAsia="Arial" w:hAnsi="Arial" w:cs="Arial"/>
          <w:i/>
          <w:iCs/>
          <w:sz w:val="20"/>
          <w:szCs w:val="20"/>
        </w:rPr>
      </w:pPr>
      <w:r>
        <w:rPr>
          <w:rFonts w:ascii="Arial" w:eastAsia="Arial" w:hAnsi="Arial" w:cs="Arial"/>
          <w:i/>
          <w:iCs/>
          <w:sz w:val="20"/>
          <w:szCs w:val="20"/>
        </w:rPr>
        <w:t>¿Corresponde a panel táctil?</w:t>
      </w:r>
    </w:p>
    <w:p w14:paraId="429D578E" w14:textId="77777777" w:rsidR="00BE6367" w:rsidRDefault="00C90F6A">
      <w:pPr>
        <w:numPr>
          <w:ilvl w:val="0"/>
          <w:numId w:val="21"/>
        </w:numPr>
        <w:spacing w:before="120" w:after="0" w:line="240" w:lineRule="auto"/>
        <w:jc w:val="both"/>
        <w:rPr>
          <w:rFonts w:ascii="Arial" w:eastAsia="Arial" w:hAnsi="Arial" w:cs="Arial"/>
          <w:i/>
          <w:iCs/>
          <w:sz w:val="20"/>
          <w:szCs w:val="20"/>
        </w:rPr>
      </w:pPr>
      <w:r>
        <w:rPr>
          <w:rFonts w:ascii="Arial" w:eastAsia="Arial" w:hAnsi="Arial" w:cs="Arial"/>
          <w:i/>
          <w:iCs/>
          <w:sz w:val="20"/>
          <w:szCs w:val="20"/>
        </w:rPr>
        <w:t>¿Debe incluir procesador de control?</w:t>
      </w:r>
    </w:p>
    <w:p w14:paraId="2934B84E" w14:textId="77777777" w:rsidR="00BE6367" w:rsidRDefault="00C90F6A">
      <w:pPr>
        <w:numPr>
          <w:ilvl w:val="0"/>
          <w:numId w:val="21"/>
        </w:numPr>
        <w:spacing w:before="120" w:after="0" w:line="240" w:lineRule="auto"/>
        <w:jc w:val="both"/>
        <w:rPr>
          <w:rFonts w:ascii="Arial" w:eastAsia="Arial" w:hAnsi="Arial" w:cs="Arial"/>
          <w:i/>
          <w:iCs/>
          <w:sz w:val="20"/>
          <w:szCs w:val="20"/>
        </w:rPr>
      </w:pPr>
      <w:r>
        <w:rPr>
          <w:rFonts w:ascii="Arial" w:eastAsia="Arial" w:hAnsi="Arial" w:cs="Arial"/>
          <w:i/>
          <w:iCs/>
          <w:sz w:val="20"/>
          <w:szCs w:val="20"/>
        </w:rPr>
        <w:t>¿Tamaño de pantalla?</w:t>
      </w:r>
    </w:p>
    <w:p w14:paraId="668F5A61" w14:textId="77777777" w:rsidR="00BE6367" w:rsidRDefault="00C90F6A">
      <w:pPr>
        <w:numPr>
          <w:ilvl w:val="0"/>
          <w:numId w:val="21"/>
        </w:numPr>
        <w:spacing w:before="120" w:after="0" w:line="240" w:lineRule="auto"/>
        <w:jc w:val="both"/>
        <w:rPr>
          <w:rFonts w:ascii="Arial" w:eastAsia="Arial" w:hAnsi="Arial" w:cs="Arial"/>
          <w:i/>
          <w:iCs/>
          <w:sz w:val="20"/>
          <w:szCs w:val="20"/>
        </w:rPr>
      </w:pPr>
      <w:r>
        <w:rPr>
          <w:rFonts w:ascii="Arial" w:eastAsia="Arial" w:hAnsi="Arial" w:cs="Arial"/>
          <w:i/>
          <w:iCs/>
          <w:sz w:val="20"/>
          <w:szCs w:val="20"/>
        </w:rPr>
        <w:t>¿PoE?</w:t>
      </w:r>
    </w:p>
    <w:p w14:paraId="248B3779" w14:textId="77777777" w:rsidR="00BE6367" w:rsidRDefault="00C90F6A">
      <w:pPr>
        <w:numPr>
          <w:ilvl w:val="0"/>
          <w:numId w:val="21"/>
        </w:numPr>
        <w:spacing w:before="120" w:after="0" w:line="240" w:lineRule="auto"/>
        <w:jc w:val="both"/>
        <w:rPr>
          <w:rFonts w:ascii="Arial" w:eastAsia="Arial" w:hAnsi="Arial" w:cs="Arial"/>
          <w:i/>
          <w:iCs/>
          <w:sz w:val="20"/>
          <w:szCs w:val="20"/>
        </w:rPr>
      </w:pPr>
      <w:r>
        <w:rPr>
          <w:rFonts w:ascii="Arial" w:eastAsia="Arial" w:hAnsi="Arial" w:cs="Arial"/>
          <w:i/>
          <w:iCs/>
          <w:sz w:val="20"/>
          <w:szCs w:val="20"/>
        </w:rPr>
        <w:t>¿Cantidad de páginas y escenarios?</w:t>
      </w:r>
    </w:p>
    <w:p w14:paraId="0BDBD695"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0BC3B965"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 xml:space="preserve">La información solicitada se encuentra especificada en la ficha técnica del proceso (FTP), correspondiente al ítem </w:t>
      </w:r>
      <w:r>
        <w:rPr>
          <w:rFonts w:ascii="Arial" w:eastAsia="Arial" w:hAnsi="Arial" w:cs="Arial"/>
          <w:b/>
          <w:bCs/>
          <w:sz w:val="20"/>
          <w:szCs w:val="20"/>
        </w:rPr>
        <w:t>CEREBRO DE AUTOMATIZACIÓN</w:t>
      </w:r>
      <w:r>
        <w:rPr>
          <w:rFonts w:ascii="Arial" w:eastAsia="Arial" w:hAnsi="Arial" w:cs="Arial"/>
          <w:sz w:val="20"/>
          <w:szCs w:val="20"/>
        </w:rPr>
        <w:t xml:space="preserve"> , documento que el proponente podrá consultar para efectos de la estructuración de su oferta</w:t>
      </w:r>
    </w:p>
    <w:p w14:paraId="6EAC120F" w14:textId="77777777" w:rsidR="00BE6367" w:rsidRDefault="00BE6367">
      <w:pPr>
        <w:spacing w:before="120" w:after="0" w:line="240" w:lineRule="auto"/>
        <w:jc w:val="both"/>
        <w:rPr>
          <w:rFonts w:ascii="Arial" w:eastAsia="Arial" w:hAnsi="Arial" w:cs="Arial"/>
          <w:sz w:val="20"/>
          <w:szCs w:val="20"/>
        </w:rPr>
      </w:pPr>
    </w:p>
    <w:p w14:paraId="5A3DB665" w14:textId="77777777" w:rsidR="00BE6367" w:rsidRDefault="00C90F6A">
      <w:pPr>
        <w:spacing w:before="120"/>
        <w:jc w:val="both"/>
        <w:rPr>
          <w:rFonts w:ascii="Arial" w:eastAsia="Arial" w:hAnsi="Arial" w:cs="Arial"/>
          <w:i/>
          <w:iCs/>
          <w:sz w:val="20"/>
          <w:szCs w:val="20"/>
        </w:rPr>
      </w:pPr>
      <w:r>
        <w:rPr>
          <w:rFonts w:ascii="Arial" w:eastAsia="Arial" w:hAnsi="Arial" w:cs="Arial"/>
          <w:b/>
          <w:bCs/>
          <w:i/>
          <w:iCs/>
          <w:sz w:val="20"/>
          <w:szCs w:val="20"/>
        </w:rPr>
        <w:t>OBSERVACIÓN 19.</w:t>
      </w:r>
    </w:p>
    <w:p w14:paraId="0C8B1EBB"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t>ITEM 47. SWITCH ESPECIALIZADO</w:t>
      </w:r>
    </w:p>
    <w:p w14:paraId="50269DD6" w14:textId="77777777" w:rsidR="00BE6367" w:rsidRDefault="00C90F6A">
      <w:pPr>
        <w:numPr>
          <w:ilvl w:val="0"/>
          <w:numId w:val="22"/>
        </w:numPr>
        <w:spacing w:before="120" w:after="0" w:line="240" w:lineRule="auto"/>
        <w:jc w:val="both"/>
        <w:rPr>
          <w:rFonts w:ascii="Arial" w:eastAsia="Arial" w:hAnsi="Arial" w:cs="Arial"/>
          <w:i/>
          <w:iCs/>
          <w:sz w:val="20"/>
          <w:szCs w:val="20"/>
        </w:rPr>
      </w:pPr>
      <w:r>
        <w:rPr>
          <w:rFonts w:ascii="Arial" w:eastAsia="Arial" w:hAnsi="Arial" w:cs="Arial"/>
          <w:i/>
          <w:iCs/>
          <w:sz w:val="20"/>
          <w:szCs w:val="20"/>
        </w:rPr>
        <w:t>¿Capacidad de puertos?</w:t>
      </w:r>
    </w:p>
    <w:p w14:paraId="7481F388"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38688B9D"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 xml:space="preserve">La información solicitada se encuentra especificada en la ficha técnica del proceso (FTP), correspondiente al ítem </w:t>
      </w:r>
      <w:r>
        <w:rPr>
          <w:rFonts w:ascii="Arial" w:eastAsia="Arial" w:hAnsi="Arial" w:cs="Arial"/>
          <w:b/>
          <w:bCs/>
          <w:sz w:val="20"/>
          <w:szCs w:val="20"/>
        </w:rPr>
        <w:t>SWICTH ESPECIALIZADO AV</w:t>
      </w:r>
      <w:r>
        <w:rPr>
          <w:rFonts w:ascii="Arial" w:eastAsia="Arial" w:hAnsi="Arial" w:cs="Arial"/>
          <w:sz w:val="20"/>
          <w:szCs w:val="20"/>
        </w:rPr>
        <w:t xml:space="preserve"> , documento que el proponente podrá consultar para efectos de la estructuración de su oferta</w:t>
      </w:r>
    </w:p>
    <w:p w14:paraId="1DC0CC65" w14:textId="77777777" w:rsidR="00BE6367" w:rsidRDefault="00BE6367">
      <w:pPr>
        <w:spacing w:before="120" w:after="0" w:line="240" w:lineRule="auto"/>
        <w:jc w:val="both"/>
        <w:rPr>
          <w:rFonts w:ascii="Arial" w:eastAsia="Arial" w:hAnsi="Arial" w:cs="Arial"/>
          <w:sz w:val="20"/>
          <w:szCs w:val="20"/>
        </w:rPr>
      </w:pPr>
    </w:p>
    <w:p w14:paraId="086E07AD" w14:textId="77777777" w:rsidR="00BE6367" w:rsidRDefault="00C90F6A">
      <w:pPr>
        <w:numPr>
          <w:ilvl w:val="0"/>
          <w:numId w:val="22"/>
        </w:numPr>
        <w:spacing w:before="120" w:after="0" w:line="240" w:lineRule="auto"/>
        <w:jc w:val="both"/>
        <w:rPr>
          <w:rFonts w:ascii="Arial" w:eastAsia="Arial" w:hAnsi="Arial" w:cs="Arial"/>
          <w:i/>
          <w:iCs/>
          <w:sz w:val="20"/>
          <w:szCs w:val="20"/>
        </w:rPr>
      </w:pPr>
      <w:r>
        <w:rPr>
          <w:rFonts w:ascii="Arial" w:eastAsia="Arial" w:hAnsi="Arial" w:cs="Arial"/>
          <w:i/>
          <w:iCs/>
          <w:sz w:val="20"/>
          <w:szCs w:val="20"/>
        </w:rPr>
        <w:t>¿PoE+ o PoE++?</w:t>
      </w:r>
    </w:p>
    <w:p w14:paraId="0029282E"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45F72641" w14:textId="77777777" w:rsidR="00BE6367" w:rsidRDefault="00C90F6A">
      <w:pPr>
        <w:spacing w:before="120" w:after="0" w:line="240" w:lineRule="auto"/>
        <w:jc w:val="both"/>
        <w:rPr>
          <w:rFonts w:ascii="Arial" w:eastAsia="Arial" w:hAnsi="Arial" w:cs="Arial"/>
          <w:i/>
          <w:iCs/>
          <w:sz w:val="20"/>
          <w:szCs w:val="20"/>
        </w:rPr>
      </w:pPr>
      <w:r>
        <w:rPr>
          <w:rFonts w:ascii="Arial" w:eastAsia="Arial" w:hAnsi="Arial" w:cs="Arial"/>
          <w:sz w:val="20"/>
          <w:szCs w:val="20"/>
        </w:rPr>
        <w:t xml:space="preserve">La información solicitada se encuentra especificada en la ficha técnica del proceso (FTP), correspondiente al ítem </w:t>
      </w:r>
      <w:r>
        <w:rPr>
          <w:rFonts w:ascii="Arial" w:eastAsia="Arial" w:hAnsi="Arial" w:cs="Arial"/>
          <w:b/>
          <w:bCs/>
          <w:sz w:val="20"/>
          <w:szCs w:val="20"/>
        </w:rPr>
        <w:t>SWICTH ESPECIALIZADO AV</w:t>
      </w:r>
      <w:r>
        <w:rPr>
          <w:rFonts w:ascii="Arial" w:eastAsia="Arial" w:hAnsi="Arial" w:cs="Arial"/>
          <w:sz w:val="20"/>
          <w:szCs w:val="20"/>
        </w:rPr>
        <w:t xml:space="preserve"> , documento que el proponente podrá consultar para efectos de la estructuración de su oferta</w:t>
      </w:r>
    </w:p>
    <w:p w14:paraId="358378A3" w14:textId="77777777" w:rsidR="00BE6367" w:rsidRDefault="00C90F6A">
      <w:pPr>
        <w:numPr>
          <w:ilvl w:val="0"/>
          <w:numId w:val="22"/>
        </w:numPr>
        <w:spacing w:before="120" w:after="0" w:line="240" w:lineRule="auto"/>
        <w:jc w:val="both"/>
        <w:rPr>
          <w:rFonts w:ascii="Arial" w:eastAsia="Arial" w:hAnsi="Arial" w:cs="Arial"/>
          <w:i/>
          <w:iCs/>
          <w:sz w:val="20"/>
          <w:szCs w:val="20"/>
        </w:rPr>
      </w:pPr>
      <w:r>
        <w:rPr>
          <w:rFonts w:ascii="Arial" w:eastAsia="Arial" w:hAnsi="Arial" w:cs="Arial"/>
          <w:i/>
          <w:iCs/>
          <w:sz w:val="20"/>
          <w:szCs w:val="20"/>
        </w:rPr>
        <w:t>¿Dante requerido?</w:t>
      </w:r>
    </w:p>
    <w:p w14:paraId="0FB7D218"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1A03A422" w14:textId="77777777" w:rsidR="00BE6367" w:rsidRDefault="00C90F6A">
      <w:pPr>
        <w:spacing w:before="120" w:after="0" w:line="240" w:lineRule="auto"/>
        <w:jc w:val="both"/>
        <w:rPr>
          <w:rFonts w:ascii="Arial" w:eastAsia="Arial" w:hAnsi="Arial" w:cs="Arial"/>
          <w:i/>
          <w:iCs/>
          <w:sz w:val="20"/>
          <w:szCs w:val="20"/>
        </w:rPr>
      </w:pPr>
      <w:r>
        <w:rPr>
          <w:rFonts w:ascii="Arial" w:eastAsia="Arial" w:hAnsi="Arial" w:cs="Arial"/>
          <w:sz w:val="20"/>
          <w:szCs w:val="20"/>
        </w:rPr>
        <w:t xml:space="preserve">Si, el protocolo Dante es requerido en este dispositivo </w:t>
      </w:r>
    </w:p>
    <w:p w14:paraId="18BC75C9" w14:textId="77777777" w:rsidR="00BE6367" w:rsidRDefault="00C90F6A">
      <w:pPr>
        <w:numPr>
          <w:ilvl w:val="0"/>
          <w:numId w:val="22"/>
        </w:numPr>
        <w:spacing w:before="120" w:after="0" w:line="240" w:lineRule="auto"/>
        <w:jc w:val="both"/>
        <w:rPr>
          <w:rFonts w:ascii="Arial" w:eastAsia="Arial" w:hAnsi="Arial" w:cs="Arial"/>
          <w:i/>
          <w:iCs/>
          <w:sz w:val="20"/>
          <w:szCs w:val="20"/>
        </w:rPr>
      </w:pPr>
      <w:r>
        <w:rPr>
          <w:rFonts w:ascii="Arial" w:eastAsia="Arial" w:hAnsi="Arial" w:cs="Arial"/>
          <w:i/>
          <w:iCs/>
          <w:sz w:val="20"/>
          <w:szCs w:val="20"/>
        </w:rPr>
        <w:t>¿AVB requerido?</w:t>
      </w:r>
    </w:p>
    <w:p w14:paraId="10FF53CC"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2E3E804B" w14:textId="77777777" w:rsidR="00BE6367" w:rsidRDefault="00C90F6A">
      <w:pPr>
        <w:spacing w:before="120" w:after="0" w:line="240" w:lineRule="auto"/>
        <w:jc w:val="both"/>
        <w:rPr>
          <w:rFonts w:ascii="Arial" w:eastAsia="Arial" w:hAnsi="Arial" w:cs="Arial"/>
          <w:i/>
          <w:iCs/>
          <w:sz w:val="20"/>
          <w:szCs w:val="20"/>
        </w:rPr>
      </w:pPr>
      <w:r>
        <w:rPr>
          <w:rFonts w:ascii="Arial" w:eastAsia="Arial" w:hAnsi="Arial" w:cs="Arial"/>
          <w:sz w:val="20"/>
          <w:szCs w:val="20"/>
        </w:rPr>
        <w:t>No, el protocolo AVB no es requerido</w:t>
      </w:r>
      <w:r>
        <w:rPr>
          <w:rFonts w:ascii="Arial" w:eastAsia="Arial" w:hAnsi="Arial" w:cs="Arial"/>
          <w:b/>
          <w:bCs/>
          <w:sz w:val="20"/>
          <w:szCs w:val="20"/>
        </w:rPr>
        <w:t xml:space="preserve"> </w:t>
      </w:r>
    </w:p>
    <w:p w14:paraId="2ECC8627" w14:textId="77777777" w:rsidR="00BE6367" w:rsidRDefault="00C90F6A">
      <w:pPr>
        <w:numPr>
          <w:ilvl w:val="0"/>
          <w:numId w:val="22"/>
        </w:numPr>
        <w:spacing w:before="120" w:after="0" w:line="240" w:lineRule="auto"/>
        <w:jc w:val="both"/>
        <w:rPr>
          <w:rFonts w:ascii="Arial" w:eastAsia="Arial" w:hAnsi="Arial" w:cs="Arial"/>
          <w:i/>
          <w:iCs/>
          <w:sz w:val="20"/>
          <w:szCs w:val="20"/>
        </w:rPr>
      </w:pPr>
      <w:r>
        <w:rPr>
          <w:rFonts w:ascii="Arial" w:eastAsia="Arial" w:hAnsi="Arial" w:cs="Arial"/>
          <w:i/>
          <w:iCs/>
          <w:sz w:val="20"/>
          <w:szCs w:val="20"/>
        </w:rPr>
        <w:t>¿Stacking requerido?</w:t>
      </w:r>
    </w:p>
    <w:p w14:paraId="774355E3"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6D42EFDB" w14:textId="77777777" w:rsidR="00BE6367" w:rsidRDefault="00C90F6A">
      <w:pPr>
        <w:spacing w:before="120" w:after="0" w:line="240" w:lineRule="auto"/>
        <w:jc w:val="both"/>
        <w:rPr>
          <w:rFonts w:ascii="Arial" w:eastAsia="Arial" w:hAnsi="Arial" w:cs="Arial"/>
          <w:i/>
          <w:iCs/>
          <w:sz w:val="20"/>
          <w:szCs w:val="20"/>
        </w:rPr>
      </w:pPr>
      <w:r>
        <w:rPr>
          <w:rFonts w:ascii="Arial" w:eastAsia="Arial" w:hAnsi="Arial" w:cs="Arial"/>
          <w:sz w:val="20"/>
          <w:szCs w:val="20"/>
        </w:rPr>
        <w:lastRenderedPageBreak/>
        <w:t xml:space="preserve">La información solicitada se encuentra especificada en la ficha técnica del proceso (FTP), correspondiente al ítem </w:t>
      </w:r>
      <w:r>
        <w:rPr>
          <w:rFonts w:ascii="Arial" w:eastAsia="Arial" w:hAnsi="Arial" w:cs="Arial"/>
          <w:b/>
          <w:bCs/>
          <w:sz w:val="20"/>
          <w:szCs w:val="20"/>
        </w:rPr>
        <w:t>SWICTH ESPECIALIZADO AV</w:t>
      </w:r>
      <w:r>
        <w:rPr>
          <w:rFonts w:ascii="Arial" w:eastAsia="Arial" w:hAnsi="Arial" w:cs="Arial"/>
          <w:sz w:val="20"/>
          <w:szCs w:val="20"/>
        </w:rPr>
        <w:t xml:space="preserve"> , documento que el proponente podrá consultar para efectos de la estructuración de su oferta</w:t>
      </w:r>
    </w:p>
    <w:p w14:paraId="3BF89148" w14:textId="77777777" w:rsidR="00BE6367" w:rsidRDefault="00C90F6A">
      <w:pPr>
        <w:numPr>
          <w:ilvl w:val="0"/>
          <w:numId w:val="22"/>
        </w:numPr>
        <w:spacing w:before="120" w:after="0" w:line="240" w:lineRule="auto"/>
        <w:jc w:val="both"/>
        <w:rPr>
          <w:rFonts w:ascii="Arial" w:eastAsia="Arial" w:hAnsi="Arial" w:cs="Arial"/>
          <w:i/>
          <w:iCs/>
          <w:sz w:val="20"/>
          <w:szCs w:val="20"/>
        </w:rPr>
      </w:pPr>
      <w:r>
        <w:rPr>
          <w:rFonts w:ascii="Arial" w:eastAsia="Arial" w:hAnsi="Arial" w:cs="Arial"/>
          <w:i/>
          <w:iCs/>
          <w:sz w:val="20"/>
          <w:szCs w:val="20"/>
        </w:rPr>
        <w:t>¿Layer 2 o Layer 3?</w:t>
      </w:r>
    </w:p>
    <w:p w14:paraId="49EA4036"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3AAE3547"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 xml:space="preserve">La información solicitada se encuentra especificada en la ficha técnica del proceso (FTP), correspondiente al ítem </w:t>
      </w:r>
      <w:r>
        <w:rPr>
          <w:rFonts w:ascii="Arial" w:eastAsia="Arial" w:hAnsi="Arial" w:cs="Arial"/>
          <w:b/>
          <w:bCs/>
          <w:sz w:val="20"/>
          <w:szCs w:val="20"/>
        </w:rPr>
        <w:t>SWICTH ESPECIALIZADO AV</w:t>
      </w:r>
      <w:r>
        <w:rPr>
          <w:rFonts w:ascii="Arial" w:eastAsia="Arial" w:hAnsi="Arial" w:cs="Arial"/>
          <w:sz w:val="20"/>
          <w:szCs w:val="20"/>
        </w:rPr>
        <w:t xml:space="preserve"> , documento que el proponente podrá consultar para efectos de la estructuración de su oferta</w:t>
      </w:r>
    </w:p>
    <w:p w14:paraId="483EC094" w14:textId="77777777" w:rsidR="00BE6367" w:rsidRDefault="00BE6367">
      <w:pPr>
        <w:spacing w:before="120" w:after="0" w:line="240" w:lineRule="auto"/>
        <w:jc w:val="both"/>
        <w:rPr>
          <w:rFonts w:ascii="Arial" w:eastAsia="Arial" w:hAnsi="Arial" w:cs="Arial"/>
          <w:sz w:val="20"/>
          <w:szCs w:val="20"/>
        </w:rPr>
      </w:pPr>
    </w:p>
    <w:p w14:paraId="2A6EDB2A" w14:textId="77777777" w:rsidR="00BE6367" w:rsidRDefault="00C90F6A">
      <w:pPr>
        <w:spacing w:before="120"/>
        <w:jc w:val="both"/>
        <w:rPr>
          <w:rFonts w:ascii="Arial" w:eastAsia="Arial" w:hAnsi="Arial" w:cs="Arial"/>
          <w:i/>
          <w:iCs/>
          <w:sz w:val="20"/>
          <w:szCs w:val="20"/>
        </w:rPr>
      </w:pPr>
      <w:r>
        <w:rPr>
          <w:rFonts w:ascii="Arial" w:eastAsia="Arial" w:hAnsi="Arial" w:cs="Arial"/>
          <w:b/>
          <w:bCs/>
          <w:i/>
          <w:iCs/>
          <w:sz w:val="20"/>
          <w:szCs w:val="20"/>
        </w:rPr>
        <w:t>OBSERVACIÓN 20.</w:t>
      </w:r>
    </w:p>
    <w:p w14:paraId="79DA9539"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t>ITEM 48. SISTEMA DE RESERVACIÓN DE SALAS</w:t>
      </w:r>
    </w:p>
    <w:p w14:paraId="519BAA09" w14:textId="77777777" w:rsidR="00BE6367" w:rsidRDefault="00C90F6A">
      <w:pPr>
        <w:numPr>
          <w:ilvl w:val="0"/>
          <w:numId w:val="24"/>
        </w:numPr>
        <w:spacing w:before="120" w:after="0" w:line="240" w:lineRule="auto"/>
        <w:jc w:val="both"/>
        <w:rPr>
          <w:rFonts w:ascii="Arial" w:eastAsia="Arial" w:hAnsi="Arial" w:cs="Arial"/>
          <w:i/>
          <w:iCs/>
          <w:sz w:val="20"/>
          <w:szCs w:val="20"/>
        </w:rPr>
      </w:pPr>
      <w:r>
        <w:rPr>
          <w:rFonts w:ascii="Arial" w:eastAsia="Arial" w:hAnsi="Arial" w:cs="Arial"/>
          <w:i/>
          <w:iCs/>
          <w:sz w:val="20"/>
          <w:szCs w:val="20"/>
        </w:rPr>
        <w:t>¿Cantidad de salas a licenciar?</w:t>
      </w:r>
    </w:p>
    <w:p w14:paraId="5BD6FEB3"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61F5F44A" w14:textId="77777777" w:rsidR="00BE6367" w:rsidRDefault="00C90F6A">
      <w:pPr>
        <w:spacing w:before="120" w:after="0" w:line="240" w:lineRule="auto"/>
        <w:jc w:val="both"/>
        <w:rPr>
          <w:rFonts w:ascii="Arial" w:eastAsia="Arial" w:hAnsi="Arial" w:cs="Arial"/>
          <w:i/>
          <w:iCs/>
          <w:sz w:val="20"/>
          <w:szCs w:val="20"/>
        </w:rPr>
      </w:pPr>
      <w:r>
        <w:rPr>
          <w:rFonts w:ascii="Arial" w:eastAsia="Arial" w:hAnsi="Arial" w:cs="Arial"/>
          <w:sz w:val="20"/>
          <w:szCs w:val="20"/>
        </w:rPr>
        <w:t>1</w:t>
      </w:r>
    </w:p>
    <w:p w14:paraId="33A99DDD" w14:textId="77777777" w:rsidR="00BE6367" w:rsidRDefault="00C90F6A">
      <w:pPr>
        <w:numPr>
          <w:ilvl w:val="0"/>
          <w:numId w:val="24"/>
        </w:numPr>
        <w:spacing w:before="120" w:after="0" w:line="240" w:lineRule="auto"/>
        <w:jc w:val="both"/>
        <w:rPr>
          <w:rFonts w:ascii="Arial" w:eastAsia="Arial" w:hAnsi="Arial" w:cs="Arial"/>
          <w:i/>
          <w:iCs/>
          <w:sz w:val="20"/>
          <w:szCs w:val="20"/>
        </w:rPr>
      </w:pPr>
      <w:r>
        <w:rPr>
          <w:rFonts w:ascii="Arial" w:eastAsia="Arial" w:hAnsi="Arial" w:cs="Arial"/>
          <w:i/>
          <w:iCs/>
          <w:sz w:val="20"/>
          <w:szCs w:val="20"/>
        </w:rPr>
        <w:t>¿Integración con Exchange Online?</w:t>
      </w:r>
    </w:p>
    <w:p w14:paraId="0D19FF1B"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395C5DCA" w14:textId="77777777" w:rsidR="00BE6367" w:rsidRDefault="00C90F6A">
      <w:pPr>
        <w:spacing w:before="120" w:after="0" w:line="240" w:lineRule="auto"/>
        <w:jc w:val="both"/>
        <w:rPr>
          <w:rFonts w:ascii="Arial" w:eastAsia="Arial" w:hAnsi="Arial" w:cs="Arial"/>
          <w:i/>
          <w:iCs/>
          <w:sz w:val="20"/>
          <w:szCs w:val="20"/>
        </w:rPr>
      </w:pPr>
      <w:r>
        <w:rPr>
          <w:rFonts w:ascii="Arial" w:eastAsia="Arial" w:hAnsi="Arial" w:cs="Arial"/>
          <w:sz w:val="20"/>
          <w:szCs w:val="20"/>
        </w:rPr>
        <w:t xml:space="preserve">La información solicitada se encuentra especificada en la ficha técnica del proceso (FTP), correspondiente al ítem </w:t>
      </w:r>
      <w:r>
        <w:rPr>
          <w:rFonts w:ascii="Arial" w:eastAsia="Arial" w:hAnsi="Arial" w:cs="Arial"/>
          <w:b/>
          <w:bCs/>
          <w:sz w:val="20"/>
          <w:szCs w:val="20"/>
        </w:rPr>
        <w:t>SISTEMA DE RESERVACIÓN DE SALAS</w:t>
      </w:r>
      <w:r>
        <w:rPr>
          <w:rFonts w:ascii="Arial" w:eastAsia="Arial" w:hAnsi="Arial" w:cs="Arial"/>
          <w:sz w:val="20"/>
          <w:szCs w:val="20"/>
        </w:rPr>
        <w:t xml:space="preserve"> , documento que el proponente podrá consultar para efectos de la estructuración de su oferta</w:t>
      </w:r>
    </w:p>
    <w:p w14:paraId="2786E3F4" w14:textId="77777777" w:rsidR="00BE6367" w:rsidRDefault="00C90F6A">
      <w:pPr>
        <w:numPr>
          <w:ilvl w:val="0"/>
          <w:numId w:val="24"/>
        </w:numPr>
        <w:spacing w:before="120" w:after="0" w:line="240" w:lineRule="auto"/>
        <w:jc w:val="both"/>
        <w:rPr>
          <w:rFonts w:ascii="Arial" w:eastAsia="Arial" w:hAnsi="Arial" w:cs="Arial"/>
          <w:i/>
          <w:iCs/>
          <w:sz w:val="20"/>
          <w:szCs w:val="20"/>
        </w:rPr>
      </w:pPr>
      <w:r>
        <w:rPr>
          <w:rFonts w:ascii="Arial" w:eastAsia="Arial" w:hAnsi="Arial" w:cs="Arial"/>
          <w:i/>
          <w:iCs/>
          <w:sz w:val="20"/>
          <w:szCs w:val="20"/>
        </w:rPr>
        <w:t>¿Integración con Microsoft 365?</w:t>
      </w:r>
    </w:p>
    <w:p w14:paraId="7CE3CBBF"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4A0C62DC" w14:textId="77777777" w:rsidR="00BE6367" w:rsidRDefault="00C90F6A">
      <w:pPr>
        <w:spacing w:before="120" w:after="0" w:line="240" w:lineRule="auto"/>
        <w:jc w:val="both"/>
        <w:rPr>
          <w:rFonts w:ascii="Arial" w:eastAsia="Arial" w:hAnsi="Arial" w:cs="Arial"/>
          <w:i/>
          <w:iCs/>
          <w:sz w:val="20"/>
          <w:szCs w:val="20"/>
        </w:rPr>
      </w:pPr>
      <w:r>
        <w:rPr>
          <w:rFonts w:ascii="Arial" w:eastAsia="Arial" w:hAnsi="Arial" w:cs="Arial"/>
          <w:sz w:val="20"/>
          <w:szCs w:val="20"/>
        </w:rPr>
        <w:t xml:space="preserve">La información solicitada se encuentra especificada en la ficha técnica del proceso (FTP), correspondiente al ítem </w:t>
      </w:r>
      <w:r>
        <w:rPr>
          <w:rFonts w:ascii="Arial" w:eastAsia="Arial" w:hAnsi="Arial" w:cs="Arial"/>
          <w:b/>
          <w:bCs/>
          <w:sz w:val="20"/>
          <w:szCs w:val="20"/>
        </w:rPr>
        <w:t>SISTEMA DE RESERVACIÓN DE SALAS</w:t>
      </w:r>
      <w:r>
        <w:rPr>
          <w:rFonts w:ascii="Arial" w:eastAsia="Arial" w:hAnsi="Arial" w:cs="Arial"/>
          <w:sz w:val="20"/>
          <w:szCs w:val="20"/>
        </w:rPr>
        <w:t xml:space="preserve"> , documento que el proponente podrá consultar para efectos de la estructuración de su oferta</w:t>
      </w:r>
    </w:p>
    <w:p w14:paraId="58397128" w14:textId="77777777" w:rsidR="00BE6367" w:rsidRDefault="00C90F6A">
      <w:pPr>
        <w:numPr>
          <w:ilvl w:val="0"/>
          <w:numId w:val="24"/>
        </w:numPr>
        <w:spacing w:before="120" w:after="0" w:line="240" w:lineRule="auto"/>
        <w:jc w:val="both"/>
        <w:rPr>
          <w:rFonts w:ascii="Arial" w:eastAsia="Arial" w:hAnsi="Arial" w:cs="Arial"/>
          <w:i/>
          <w:iCs/>
          <w:sz w:val="20"/>
          <w:szCs w:val="20"/>
        </w:rPr>
      </w:pPr>
      <w:r>
        <w:rPr>
          <w:rFonts w:ascii="Arial" w:eastAsia="Arial" w:hAnsi="Arial" w:cs="Arial"/>
          <w:i/>
          <w:iCs/>
          <w:sz w:val="20"/>
          <w:szCs w:val="20"/>
        </w:rPr>
        <w:t>¿Panel táctil incluido?</w:t>
      </w:r>
    </w:p>
    <w:p w14:paraId="2EB6E034"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38C3E81C" w14:textId="77777777" w:rsidR="00BE6367" w:rsidRDefault="00C90F6A">
      <w:pPr>
        <w:spacing w:before="120" w:after="0" w:line="240" w:lineRule="auto"/>
        <w:jc w:val="both"/>
        <w:rPr>
          <w:rFonts w:ascii="Arial" w:eastAsia="Arial" w:hAnsi="Arial" w:cs="Arial"/>
          <w:i/>
          <w:iCs/>
          <w:sz w:val="20"/>
          <w:szCs w:val="20"/>
        </w:rPr>
      </w:pPr>
      <w:r>
        <w:rPr>
          <w:rFonts w:ascii="Arial" w:eastAsia="Arial" w:hAnsi="Arial" w:cs="Arial"/>
          <w:sz w:val="20"/>
          <w:szCs w:val="20"/>
        </w:rPr>
        <w:t xml:space="preserve">La información solicitada se encuentra especificada en la ficha técnica del proceso (FTP), correspondiente al ítem </w:t>
      </w:r>
      <w:r>
        <w:rPr>
          <w:rFonts w:ascii="Arial" w:eastAsia="Arial" w:hAnsi="Arial" w:cs="Arial"/>
          <w:b/>
          <w:bCs/>
          <w:sz w:val="20"/>
          <w:szCs w:val="20"/>
        </w:rPr>
        <w:t>SISTEMA DE RESERVACIÓN DE SALAS</w:t>
      </w:r>
      <w:r>
        <w:rPr>
          <w:rFonts w:ascii="Arial" w:eastAsia="Arial" w:hAnsi="Arial" w:cs="Arial"/>
          <w:sz w:val="20"/>
          <w:szCs w:val="20"/>
        </w:rPr>
        <w:t xml:space="preserve"> , documento que el proponente podrá consultar para efectos de la estructuración de su oferta</w:t>
      </w:r>
    </w:p>
    <w:p w14:paraId="4EAC3D02" w14:textId="77777777" w:rsidR="00BE6367" w:rsidRDefault="00BE6367">
      <w:pPr>
        <w:spacing w:before="120"/>
        <w:jc w:val="both"/>
        <w:rPr>
          <w:rFonts w:ascii="Arial" w:eastAsia="Arial" w:hAnsi="Arial" w:cs="Arial"/>
          <w:b/>
          <w:bCs/>
          <w:i/>
          <w:iCs/>
          <w:sz w:val="20"/>
          <w:szCs w:val="20"/>
        </w:rPr>
      </w:pPr>
    </w:p>
    <w:p w14:paraId="40AD5077" w14:textId="77777777" w:rsidR="00BE6367" w:rsidRDefault="00C90F6A">
      <w:pPr>
        <w:spacing w:before="120"/>
        <w:jc w:val="both"/>
        <w:rPr>
          <w:rFonts w:ascii="Arial" w:eastAsia="Arial" w:hAnsi="Arial" w:cs="Arial"/>
          <w:i/>
          <w:iCs/>
          <w:sz w:val="20"/>
          <w:szCs w:val="20"/>
        </w:rPr>
      </w:pPr>
      <w:r>
        <w:rPr>
          <w:rFonts w:ascii="Arial" w:eastAsia="Arial" w:hAnsi="Arial" w:cs="Arial"/>
          <w:b/>
          <w:bCs/>
          <w:i/>
          <w:iCs/>
          <w:sz w:val="20"/>
          <w:szCs w:val="20"/>
        </w:rPr>
        <w:t>OBSERVACIÓN 21.</w:t>
      </w:r>
    </w:p>
    <w:p w14:paraId="53F4BDCB"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t>ITEM 49 Y 50 SOFTWARE DE AUDIENCIAS</w:t>
      </w:r>
    </w:p>
    <w:p w14:paraId="6F220968" w14:textId="77777777" w:rsidR="00BE6367" w:rsidRDefault="00C90F6A">
      <w:pPr>
        <w:numPr>
          <w:ilvl w:val="0"/>
          <w:numId w:val="25"/>
        </w:numPr>
        <w:spacing w:before="120" w:after="0" w:line="240" w:lineRule="auto"/>
        <w:jc w:val="both"/>
        <w:rPr>
          <w:rFonts w:ascii="Arial" w:eastAsia="Arial" w:hAnsi="Arial" w:cs="Arial"/>
          <w:i/>
          <w:iCs/>
          <w:sz w:val="20"/>
          <w:szCs w:val="20"/>
        </w:rPr>
      </w:pPr>
      <w:r>
        <w:rPr>
          <w:rFonts w:ascii="Arial" w:eastAsia="Arial" w:hAnsi="Arial" w:cs="Arial"/>
          <w:i/>
          <w:iCs/>
          <w:sz w:val="20"/>
          <w:szCs w:val="20"/>
        </w:rPr>
        <w:t>¿Existe software actualmente instalado?</w:t>
      </w:r>
    </w:p>
    <w:p w14:paraId="07CFD3DE" w14:textId="77777777" w:rsidR="00BE6367" w:rsidRDefault="00C90F6A">
      <w:pPr>
        <w:numPr>
          <w:ilvl w:val="0"/>
          <w:numId w:val="25"/>
        </w:numPr>
        <w:spacing w:before="120" w:after="0" w:line="240" w:lineRule="auto"/>
        <w:jc w:val="both"/>
        <w:rPr>
          <w:rFonts w:ascii="Arial" w:eastAsia="Arial" w:hAnsi="Arial" w:cs="Arial"/>
          <w:i/>
          <w:iCs/>
          <w:sz w:val="20"/>
          <w:szCs w:val="20"/>
        </w:rPr>
      </w:pPr>
      <w:r>
        <w:rPr>
          <w:rFonts w:ascii="Arial" w:eastAsia="Arial" w:hAnsi="Arial" w:cs="Arial"/>
          <w:i/>
          <w:iCs/>
          <w:sz w:val="20"/>
          <w:szCs w:val="20"/>
        </w:rPr>
        <w:t>¿Se requiere reemplazo o ampliación?</w:t>
      </w:r>
    </w:p>
    <w:p w14:paraId="4AFFB381" w14:textId="77777777" w:rsidR="00BE6367" w:rsidRDefault="00C90F6A">
      <w:pPr>
        <w:numPr>
          <w:ilvl w:val="0"/>
          <w:numId w:val="25"/>
        </w:numPr>
        <w:spacing w:before="120" w:after="0" w:line="240" w:lineRule="auto"/>
        <w:jc w:val="both"/>
        <w:rPr>
          <w:rFonts w:ascii="Arial" w:eastAsia="Arial" w:hAnsi="Arial" w:cs="Arial"/>
          <w:i/>
          <w:iCs/>
          <w:sz w:val="20"/>
          <w:szCs w:val="20"/>
        </w:rPr>
      </w:pPr>
      <w:r>
        <w:rPr>
          <w:rFonts w:ascii="Arial" w:eastAsia="Arial" w:hAnsi="Arial" w:cs="Arial"/>
          <w:i/>
          <w:iCs/>
          <w:sz w:val="20"/>
          <w:szCs w:val="20"/>
        </w:rPr>
        <w:t>¿Cantidad concurrente de usuarios?</w:t>
      </w:r>
    </w:p>
    <w:p w14:paraId="4E963D1F" w14:textId="77777777" w:rsidR="00BE6367" w:rsidRDefault="00C90F6A">
      <w:pPr>
        <w:numPr>
          <w:ilvl w:val="0"/>
          <w:numId w:val="25"/>
        </w:numPr>
        <w:spacing w:before="120" w:after="0" w:line="240" w:lineRule="auto"/>
        <w:jc w:val="both"/>
        <w:rPr>
          <w:rFonts w:ascii="Arial" w:eastAsia="Arial" w:hAnsi="Arial" w:cs="Arial"/>
          <w:i/>
          <w:iCs/>
          <w:sz w:val="20"/>
          <w:szCs w:val="20"/>
        </w:rPr>
      </w:pPr>
      <w:r>
        <w:rPr>
          <w:rFonts w:ascii="Arial" w:eastAsia="Arial" w:hAnsi="Arial" w:cs="Arial"/>
          <w:i/>
          <w:iCs/>
          <w:sz w:val="20"/>
          <w:szCs w:val="20"/>
        </w:rPr>
        <w:t>¿Licencia perpetua o suscripción?</w:t>
      </w:r>
    </w:p>
    <w:p w14:paraId="74B39F42" w14:textId="77777777" w:rsidR="00BE6367" w:rsidRDefault="00C90F6A">
      <w:pPr>
        <w:numPr>
          <w:ilvl w:val="0"/>
          <w:numId w:val="25"/>
        </w:numPr>
        <w:spacing w:before="120" w:after="0" w:line="240" w:lineRule="auto"/>
        <w:jc w:val="both"/>
        <w:rPr>
          <w:rFonts w:ascii="Arial" w:eastAsia="Arial" w:hAnsi="Arial" w:cs="Arial"/>
          <w:i/>
          <w:iCs/>
          <w:sz w:val="20"/>
          <w:szCs w:val="20"/>
        </w:rPr>
      </w:pPr>
      <w:r>
        <w:rPr>
          <w:rFonts w:ascii="Arial" w:eastAsia="Arial" w:hAnsi="Arial" w:cs="Arial"/>
          <w:i/>
          <w:iCs/>
          <w:sz w:val="20"/>
          <w:szCs w:val="20"/>
        </w:rPr>
        <w:t>¿Integración Teams?</w:t>
      </w:r>
    </w:p>
    <w:p w14:paraId="29F18E61" w14:textId="77777777" w:rsidR="00BE6367" w:rsidRDefault="00C90F6A">
      <w:pPr>
        <w:numPr>
          <w:ilvl w:val="0"/>
          <w:numId w:val="25"/>
        </w:numPr>
        <w:spacing w:before="120" w:after="0" w:line="240" w:lineRule="auto"/>
        <w:jc w:val="both"/>
        <w:rPr>
          <w:rFonts w:ascii="Arial" w:eastAsia="Arial" w:hAnsi="Arial" w:cs="Arial"/>
          <w:i/>
          <w:iCs/>
          <w:sz w:val="20"/>
          <w:szCs w:val="20"/>
        </w:rPr>
      </w:pPr>
      <w:r>
        <w:rPr>
          <w:rFonts w:ascii="Arial" w:eastAsia="Arial" w:hAnsi="Arial" w:cs="Arial"/>
          <w:i/>
          <w:iCs/>
          <w:sz w:val="20"/>
          <w:szCs w:val="20"/>
        </w:rPr>
        <w:t>¿Integración Active Directory?</w:t>
      </w:r>
    </w:p>
    <w:p w14:paraId="32EFEC31" w14:textId="77777777" w:rsidR="00BE6367" w:rsidRDefault="00C90F6A">
      <w:pPr>
        <w:numPr>
          <w:ilvl w:val="0"/>
          <w:numId w:val="25"/>
        </w:numPr>
        <w:spacing w:before="120" w:after="0" w:line="240" w:lineRule="auto"/>
        <w:jc w:val="both"/>
        <w:rPr>
          <w:rFonts w:ascii="Arial" w:eastAsia="Arial" w:hAnsi="Arial" w:cs="Arial"/>
          <w:i/>
          <w:iCs/>
          <w:sz w:val="20"/>
          <w:szCs w:val="20"/>
        </w:rPr>
      </w:pPr>
      <w:r>
        <w:rPr>
          <w:rFonts w:ascii="Arial" w:eastAsia="Arial" w:hAnsi="Arial" w:cs="Arial"/>
          <w:i/>
          <w:iCs/>
          <w:sz w:val="20"/>
          <w:szCs w:val="20"/>
        </w:rPr>
        <w:t>¿Grabación certificada?</w:t>
      </w:r>
    </w:p>
    <w:p w14:paraId="3944DC2F" w14:textId="77777777" w:rsidR="00BE6367" w:rsidRDefault="00C90F6A">
      <w:pPr>
        <w:numPr>
          <w:ilvl w:val="0"/>
          <w:numId w:val="25"/>
        </w:numPr>
        <w:spacing w:before="120" w:after="0" w:line="240" w:lineRule="auto"/>
        <w:jc w:val="both"/>
        <w:rPr>
          <w:rFonts w:ascii="Arial" w:eastAsia="Arial" w:hAnsi="Arial" w:cs="Arial"/>
          <w:i/>
          <w:iCs/>
          <w:sz w:val="20"/>
          <w:szCs w:val="20"/>
        </w:rPr>
      </w:pPr>
      <w:r>
        <w:rPr>
          <w:rFonts w:ascii="Arial" w:eastAsia="Arial" w:hAnsi="Arial" w:cs="Arial"/>
          <w:i/>
          <w:iCs/>
          <w:sz w:val="20"/>
          <w:szCs w:val="20"/>
        </w:rPr>
        <w:t>¿Custodia de evidencia?</w:t>
      </w:r>
    </w:p>
    <w:p w14:paraId="21BFBC63" w14:textId="77777777" w:rsidR="00BE6367" w:rsidRDefault="00C90F6A">
      <w:pPr>
        <w:numPr>
          <w:ilvl w:val="0"/>
          <w:numId w:val="25"/>
        </w:numPr>
        <w:spacing w:before="120" w:after="0" w:line="240" w:lineRule="auto"/>
        <w:jc w:val="both"/>
        <w:rPr>
          <w:rFonts w:ascii="Arial" w:eastAsia="Arial" w:hAnsi="Arial" w:cs="Arial"/>
          <w:i/>
          <w:iCs/>
          <w:sz w:val="20"/>
          <w:szCs w:val="20"/>
        </w:rPr>
      </w:pPr>
      <w:r>
        <w:rPr>
          <w:rFonts w:ascii="Arial" w:eastAsia="Arial" w:hAnsi="Arial" w:cs="Arial"/>
          <w:i/>
          <w:iCs/>
          <w:sz w:val="20"/>
          <w:szCs w:val="20"/>
        </w:rPr>
        <w:t>¿Transcripción automática?</w:t>
      </w:r>
    </w:p>
    <w:p w14:paraId="53AAD61D" w14:textId="77777777" w:rsidR="00BE6367" w:rsidRDefault="00C90F6A">
      <w:pPr>
        <w:numPr>
          <w:ilvl w:val="0"/>
          <w:numId w:val="25"/>
        </w:numPr>
        <w:spacing w:before="120" w:after="0" w:line="240" w:lineRule="auto"/>
        <w:jc w:val="both"/>
        <w:rPr>
          <w:rFonts w:ascii="Arial" w:eastAsia="Arial" w:hAnsi="Arial" w:cs="Arial"/>
          <w:i/>
          <w:iCs/>
          <w:sz w:val="20"/>
          <w:szCs w:val="20"/>
        </w:rPr>
      </w:pPr>
      <w:r>
        <w:rPr>
          <w:rFonts w:ascii="Arial" w:eastAsia="Arial" w:hAnsi="Arial" w:cs="Arial"/>
          <w:i/>
          <w:iCs/>
          <w:sz w:val="20"/>
          <w:szCs w:val="20"/>
        </w:rPr>
        <w:t>¿Firma electrónica?</w:t>
      </w:r>
    </w:p>
    <w:p w14:paraId="5BE5008F" w14:textId="77777777" w:rsidR="00BE6367" w:rsidRDefault="00BE6367">
      <w:pPr>
        <w:spacing w:before="120" w:after="0" w:line="240" w:lineRule="auto"/>
        <w:jc w:val="both"/>
        <w:rPr>
          <w:rFonts w:ascii="Arial" w:eastAsia="Arial" w:hAnsi="Arial" w:cs="Arial"/>
          <w:b/>
          <w:bCs/>
          <w:sz w:val="20"/>
          <w:szCs w:val="20"/>
        </w:rPr>
      </w:pPr>
    </w:p>
    <w:p w14:paraId="7B53489C"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451580A2"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 xml:space="preserve">La información de las especificaciones técnicas que se requieren para este item se encuentra especificada en la ficha técnica del proceso (FTP), correspondiente al ítem </w:t>
      </w:r>
      <w:r>
        <w:rPr>
          <w:rFonts w:ascii="Arial" w:eastAsia="Arial" w:hAnsi="Arial" w:cs="Arial"/>
          <w:b/>
          <w:bCs/>
          <w:sz w:val="20"/>
          <w:szCs w:val="20"/>
        </w:rPr>
        <w:t>SOFTWARE DE AUDIENCIAS</w:t>
      </w:r>
      <w:r>
        <w:rPr>
          <w:rFonts w:ascii="Arial" w:eastAsia="Arial" w:hAnsi="Arial" w:cs="Arial"/>
          <w:sz w:val="20"/>
          <w:szCs w:val="20"/>
        </w:rPr>
        <w:t xml:space="preserve"> , documento que el proponente podrá consultar para efectos de la estructuración de su oferta</w:t>
      </w:r>
    </w:p>
    <w:p w14:paraId="64F49958" w14:textId="77777777" w:rsidR="00BE6367" w:rsidRDefault="00BE6367">
      <w:pPr>
        <w:spacing w:before="120" w:after="0" w:line="240" w:lineRule="auto"/>
        <w:jc w:val="both"/>
        <w:rPr>
          <w:rFonts w:ascii="Arial" w:eastAsia="Arial" w:hAnsi="Arial" w:cs="Arial"/>
          <w:sz w:val="20"/>
          <w:szCs w:val="20"/>
        </w:rPr>
      </w:pPr>
    </w:p>
    <w:p w14:paraId="16ABC4A6" w14:textId="77777777" w:rsidR="00BE6367" w:rsidRDefault="00C90F6A">
      <w:pPr>
        <w:spacing w:before="120"/>
        <w:jc w:val="both"/>
        <w:rPr>
          <w:rFonts w:ascii="Arial" w:eastAsia="Arial" w:hAnsi="Arial" w:cs="Arial"/>
          <w:i/>
          <w:iCs/>
          <w:sz w:val="20"/>
          <w:szCs w:val="20"/>
        </w:rPr>
      </w:pPr>
      <w:r>
        <w:rPr>
          <w:rFonts w:ascii="Arial" w:eastAsia="Arial" w:hAnsi="Arial" w:cs="Arial"/>
          <w:b/>
          <w:bCs/>
          <w:i/>
          <w:iCs/>
          <w:sz w:val="20"/>
          <w:szCs w:val="20"/>
        </w:rPr>
        <w:t>OBSERVACIÓN 22.</w:t>
      </w:r>
    </w:p>
    <w:p w14:paraId="56A3DB8F"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t>ITEM 51. ACONDICIONAMIENTO ACÚSTICO</w:t>
      </w:r>
    </w:p>
    <w:p w14:paraId="672AF32F" w14:textId="77777777" w:rsidR="00BE6367" w:rsidRDefault="00C90F6A">
      <w:pPr>
        <w:numPr>
          <w:ilvl w:val="0"/>
          <w:numId w:val="26"/>
        </w:numPr>
        <w:spacing w:before="120" w:after="0" w:line="240" w:lineRule="auto"/>
        <w:jc w:val="both"/>
        <w:rPr>
          <w:rFonts w:ascii="Arial" w:eastAsia="Arial" w:hAnsi="Arial" w:cs="Arial"/>
          <w:i/>
          <w:iCs/>
          <w:sz w:val="20"/>
          <w:szCs w:val="20"/>
        </w:rPr>
      </w:pPr>
      <w:r>
        <w:rPr>
          <w:rFonts w:ascii="Arial" w:eastAsia="Arial" w:hAnsi="Arial" w:cs="Arial"/>
          <w:i/>
          <w:iCs/>
          <w:sz w:val="20"/>
          <w:szCs w:val="20"/>
        </w:rPr>
        <w:t>¿Existe estudio acústico?</w:t>
      </w:r>
    </w:p>
    <w:p w14:paraId="75C0440A" w14:textId="77777777" w:rsidR="00BE6367" w:rsidRDefault="00C90F6A">
      <w:pPr>
        <w:numPr>
          <w:ilvl w:val="0"/>
          <w:numId w:val="26"/>
        </w:numPr>
        <w:spacing w:before="120" w:after="0" w:line="240" w:lineRule="auto"/>
        <w:jc w:val="both"/>
        <w:rPr>
          <w:rFonts w:ascii="Arial" w:eastAsia="Arial" w:hAnsi="Arial" w:cs="Arial"/>
          <w:i/>
          <w:iCs/>
          <w:sz w:val="20"/>
          <w:szCs w:val="20"/>
        </w:rPr>
      </w:pPr>
      <w:r>
        <w:rPr>
          <w:rFonts w:ascii="Arial" w:eastAsia="Arial" w:hAnsi="Arial" w:cs="Arial"/>
          <w:i/>
          <w:iCs/>
          <w:sz w:val="20"/>
          <w:szCs w:val="20"/>
        </w:rPr>
        <w:t>¿RT60 objetivo?</w:t>
      </w:r>
    </w:p>
    <w:p w14:paraId="6BFF1809" w14:textId="77777777" w:rsidR="00BE6367" w:rsidRDefault="00C90F6A">
      <w:pPr>
        <w:numPr>
          <w:ilvl w:val="0"/>
          <w:numId w:val="26"/>
        </w:numPr>
        <w:spacing w:before="120" w:after="0" w:line="240" w:lineRule="auto"/>
        <w:jc w:val="both"/>
        <w:rPr>
          <w:rFonts w:ascii="Arial" w:eastAsia="Arial" w:hAnsi="Arial" w:cs="Arial"/>
          <w:i/>
          <w:iCs/>
          <w:sz w:val="20"/>
          <w:szCs w:val="20"/>
        </w:rPr>
      </w:pPr>
      <w:r>
        <w:rPr>
          <w:rFonts w:ascii="Arial" w:eastAsia="Arial" w:hAnsi="Arial" w:cs="Arial"/>
          <w:i/>
          <w:iCs/>
          <w:sz w:val="20"/>
          <w:szCs w:val="20"/>
        </w:rPr>
        <w:t>¿Área total a intervenir?</w:t>
      </w:r>
    </w:p>
    <w:p w14:paraId="3449FA65" w14:textId="77777777" w:rsidR="00BE6367" w:rsidRDefault="00C90F6A">
      <w:pPr>
        <w:numPr>
          <w:ilvl w:val="0"/>
          <w:numId w:val="26"/>
        </w:numPr>
        <w:spacing w:before="120" w:after="0" w:line="240" w:lineRule="auto"/>
        <w:jc w:val="both"/>
        <w:rPr>
          <w:rFonts w:ascii="Arial" w:eastAsia="Arial" w:hAnsi="Arial" w:cs="Arial"/>
          <w:i/>
          <w:iCs/>
          <w:sz w:val="20"/>
          <w:szCs w:val="20"/>
        </w:rPr>
      </w:pPr>
      <w:r>
        <w:rPr>
          <w:rFonts w:ascii="Arial" w:eastAsia="Arial" w:hAnsi="Arial" w:cs="Arial"/>
          <w:i/>
          <w:iCs/>
          <w:sz w:val="20"/>
          <w:szCs w:val="20"/>
        </w:rPr>
        <w:t>¿Planos disponibles?</w:t>
      </w:r>
    </w:p>
    <w:p w14:paraId="1517C88A" w14:textId="77777777" w:rsidR="00BE6367" w:rsidRDefault="00C90F6A">
      <w:pPr>
        <w:numPr>
          <w:ilvl w:val="0"/>
          <w:numId w:val="26"/>
        </w:numPr>
        <w:spacing w:before="120" w:after="0" w:line="240" w:lineRule="auto"/>
        <w:jc w:val="both"/>
        <w:rPr>
          <w:rFonts w:ascii="Arial" w:eastAsia="Arial" w:hAnsi="Arial" w:cs="Arial"/>
          <w:i/>
          <w:iCs/>
          <w:sz w:val="20"/>
          <w:szCs w:val="20"/>
        </w:rPr>
      </w:pPr>
      <w:r>
        <w:rPr>
          <w:rFonts w:ascii="Arial" w:eastAsia="Arial" w:hAnsi="Arial" w:cs="Arial"/>
          <w:i/>
          <w:iCs/>
          <w:sz w:val="20"/>
          <w:szCs w:val="20"/>
        </w:rPr>
        <w:t>¿Materiales autorizados?</w:t>
      </w:r>
    </w:p>
    <w:p w14:paraId="4C75136C" w14:textId="77777777" w:rsidR="00BE6367" w:rsidRDefault="00C90F6A">
      <w:pPr>
        <w:numPr>
          <w:ilvl w:val="0"/>
          <w:numId w:val="26"/>
        </w:numPr>
        <w:spacing w:before="120" w:after="0" w:line="240" w:lineRule="auto"/>
        <w:jc w:val="both"/>
        <w:rPr>
          <w:rFonts w:ascii="Arial" w:eastAsia="Arial" w:hAnsi="Arial" w:cs="Arial"/>
          <w:i/>
          <w:iCs/>
          <w:sz w:val="20"/>
          <w:szCs w:val="20"/>
        </w:rPr>
      </w:pPr>
      <w:r>
        <w:rPr>
          <w:rFonts w:ascii="Arial" w:eastAsia="Arial" w:hAnsi="Arial" w:cs="Arial"/>
          <w:i/>
          <w:iCs/>
          <w:sz w:val="20"/>
          <w:szCs w:val="20"/>
        </w:rPr>
        <w:t>¿Requisitos ignífugos?</w:t>
      </w:r>
    </w:p>
    <w:p w14:paraId="42770667" w14:textId="77777777" w:rsidR="00BE6367" w:rsidRDefault="00BE6367">
      <w:pPr>
        <w:spacing w:before="120"/>
        <w:jc w:val="both"/>
        <w:rPr>
          <w:rFonts w:ascii="Arial" w:eastAsia="Arial" w:hAnsi="Arial" w:cs="Arial"/>
          <w:b/>
          <w:bCs/>
          <w:i/>
          <w:iCs/>
          <w:sz w:val="20"/>
          <w:szCs w:val="20"/>
        </w:rPr>
      </w:pPr>
    </w:p>
    <w:p w14:paraId="6B3D7408"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2F995636"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 xml:space="preserve">La información solicitada se encuentra especificada en la ficha técnica del proceso (FTP), correspondiente al ítem </w:t>
      </w:r>
      <w:r>
        <w:rPr>
          <w:rFonts w:ascii="Arial" w:eastAsia="Arial" w:hAnsi="Arial" w:cs="Arial"/>
          <w:b/>
          <w:bCs/>
          <w:sz w:val="20"/>
          <w:szCs w:val="20"/>
        </w:rPr>
        <w:t>ACONDICIONAMIENTO ACÚSTICO PARA SALAS DE AUDIENCIAS</w:t>
      </w:r>
      <w:r>
        <w:rPr>
          <w:rFonts w:ascii="Arial" w:eastAsia="Arial" w:hAnsi="Arial" w:cs="Arial"/>
          <w:sz w:val="20"/>
          <w:szCs w:val="20"/>
        </w:rPr>
        <w:t xml:space="preserve"> , documento que el proponente podrá consultar para efectos de la estructuración de su oferta</w:t>
      </w:r>
    </w:p>
    <w:p w14:paraId="288D2079"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Con respecto a los planos solicitados, la información técnica detallada de las salas será suministrada al comitente vendedor que resulte seleccionado, bajo las condiciones de uso, manejo y confidencialidad establecidas por la Entidad.</w:t>
      </w:r>
    </w:p>
    <w:p w14:paraId="4923870A" w14:textId="77777777" w:rsidR="00BE6367" w:rsidRDefault="00BE6367">
      <w:pPr>
        <w:spacing w:before="120"/>
        <w:jc w:val="both"/>
        <w:rPr>
          <w:rFonts w:ascii="Arial" w:eastAsia="Arial" w:hAnsi="Arial" w:cs="Arial"/>
          <w:b/>
          <w:bCs/>
          <w:i/>
          <w:iCs/>
          <w:sz w:val="20"/>
          <w:szCs w:val="20"/>
        </w:rPr>
      </w:pPr>
    </w:p>
    <w:p w14:paraId="7300769A" w14:textId="77777777" w:rsidR="00BE6367" w:rsidRDefault="00C90F6A">
      <w:pPr>
        <w:spacing w:before="120"/>
        <w:jc w:val="both"/>
        <w:rPr>
          <w:rFonts w:ascii="Arial" w:eastAsia="Arial" w:hAnsi="Arial" w:cs="Arial"/>
          <w:i/>
          <w:iCs/>
          <w:sz w:val="20"/>
          <w:szCs w:val="20"/>
        </w:rPr>
      </w:pPr>
      <w:r>
        <w:rPr>
          <w:rFonts w:ascii="Arial" w:eastAsia="Arial" w:hAnsi="Arial" w:cs="Arial"/>
          <w:b/>
          <w:bCs/>
          <w:i/>
          <w:iCs/>
          <w:sz w:val="20"/>
          <w:szCs w:val="20"/>
        </w:rPr>
        <w:t>OBSERVACIÓN 23.</w:t>
      </w:r>
    </w:p>
    <w:p w14:paraId="73D2E854"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t>ITEM 52. ACCESORIOS Y CABLEADO</w:t>
      </w:r>
    </w:p>
    <w:p w14:paraId="7D27DE6A" w14:textId="77777777" w:rsidR="00BE6367" w:rsidRDefault="00C90F6A">
      <w:pPr>
        <w:numPr>
          <w:ilvl w:val="0"/>
          <w:numId w:val="27"/>
        </w:numPr>
        <w:spacing w:before="120" w:after="0" w:line="240" w:lineRule="auto"/>
        <w:jc w:val="both"/>
        <w:rPr>
          <w:rFonts w:ascii="Arial" w:eastAsia="Arial" w:hAnsi="Arial" w:cs="Arial"/>
          <w:i/>
          <w:iCs/>
          <w:sz w:val="20"/>
          <w:szCs w:val="20"/>
        </w:rPr>
      </w:pPr>
      <w:r>
        <w:rPr>
          <w:rFonts w:ascii="Arial" w:eastAsia="Arial" w:hAnsi="Arial" w:cs="Arial"/>
          <w:i/>
          <w:iCs/>
          <w:sz w:val="20"/>
          <w:szCs w:val="20"/>
        </w:rPr>
        <w:t>¿El cableado estructurado está incluido?</w:t>
      </w:r>
    </w:p>
    <w:p w14:paraId="7D8C8B1B" w14:textId="77777777" w:rsidR="00BE6367" w:rsidRDefault="00C90F6A">
      <w:pPr>
        <w:numPr>
          <w:ilvl w:val="0"/>
          <w:numId w:val="27"/>
        </w:numPr>
        <w:spacing w:before="120" w:after="0" w:line="240" w:lineRule="auto"/>
        <w:jc w:val="both"/>
        <w:rPr>
          <w:rFonts w:ascii="Arial" w:eastAsia="Arial" w:hAnsi="Arial" w:cs="Arial"/>
          <w:i/>
          <w:iCs/>
          <w:sz w:val="20"/>
          <w:szCs w:val="20"/>
        </w:rPr>
      </w:pPr>
      <w:r>
        <w:rPr>
          <w:rFonts w:ascii="Arial" w:eastAsia="Arial" w:hAnsi="Arial" w:cs="Arial"/>
          <w:i/>
          <w:iCs/>
          <w:sz w:val="20"/>
          <w:szCs w:val="20"/>
        </w:rPr>
        <w:t>¿Existen canalizaciones existentes?</w:t>
      </w:r>
    </w:p>
    <w:p w14:paraId="13C17BBB" w14:textId="77777777" w:rsidR="00BE6367" w:rsidRDefault="00BE6367">
      <w:pPr>
        <w:spacing w:before="120" w:after="0" w:line="240" w:lineRule="auto"/>
        <w:jc w:val="both"/>
        <w:rPr>
          <w:rFonts w:ascii="Arial" w:eastAsia="Arial" w:hAnsi="Arial" w:cs="Arial"/>
          <w:b/>
          <w:bCs/>
          <w:sz w:val="20"/>
          <w:szCs w:val="20"/>
        </w:rPr>
      </w:pPr>
    </w:p>
    <w:p w14:paraId="00B45E39"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228F6768"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 xml:space="preserve">Sí, el suministro e instalación del cableado estructurado y canalizaciones necesarias para la puesta en marcha de la solución se encuentra incluido dentro del alcance del contrato, bajo el esquema de proyecto llave en mano, correspondiendo al contratista garantizar la totalidad de los insumos, materiales y elementos requeridos para la instalación, configuración y correcto funcionamiento de los equipos objeto del presente proceso. </w:t>
      </w:r>
    </w:p>
    <w:p w14:paraId="727ECB2F" w14:textId="77777777" w:rsidR="00BE6367" w:rsidRDefault="00BE6367">
      <w:pPr>
        <w:spacing w:before="120" w:after="0" w:line="240" w:lineRule="auto"/>
        <w:jc w:val="both"/>
        <w:rPr>
          <w:rFonts w:ascii="Arial" w:eastAsia="Arial" w:hAnsi="Arial" w:cs="Arial"/>
          <w:sz w:val="20"/>
          <w:szCs w:val="20"/>
        </w:rPr>
      </w:pPr>
    </w:p>
    <w:p w14:paraId="0545BD95" w14:textId="77777777" w:rsidR="00BE6367" w:rsidRDefault="00C90F6A">
      <w:pPr>
        <w:spacing w:before="120"/>
        <w:jc w:val="both"/>
        <w:rPr>
          <w:rFonts w:ascii="Arial" w:eastAsia="Arial" w:hAnsi="Arial" w:cs="Arial"/>
          <w:i/>
          <w:iCs/>
          <w:sz w:val="20"/>
          <w:szCs w:val="20"/>
        </w:rPr>
      </w:pPr>
      <w:r>
        <w:rPr>
          <w:rFonts w:ascii="Arial" w:eastAsia="Arial" w:hAnsi="Arial" w:cs="Arial"/>
          <w:b/>
          <w:bCs/>
          <w:i/>
          <w:iCs/>
          <w:sz w:val="20"/>
          <w:szCs w:val="20"/>
        </w:rPr>
        <w:t>OBSERVACIÓN 24.</w:t>
      </w:r>
    </w:p>
    <w:p w14:paraId="5F869D6C"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t>ITEM 53. Acondicionamiento General</w:t>
      </w:r>
    </w:p>
    <w:p w14:paraId="4A521D16" w14:textId="77777777" w:rsidR="00BE6367" w:rsidRDefault="00C90F6A">
      <w:pPr>
        <w:numPr>
          <w:ilvl w:val="0"/>
          <w:numId w:val="28"/>
        </w:numPr>
        <w:spacing w:before="120" w:after="0" w:line="240" w:lineRule="auto"/>
        <w:jc w:val="both"/>
        <w:rPr>
          <w:rFonts w:ascii="Arial" w:eastAsia="Arial" w:hAnsi="Arial" w:cs="Arial"/>
          <w:i/>
          <w:iCs/>
          <w:sz w:val="20"/>
          <w:szCs w:val="20"/>
        </w:rPr>
      </w:pPr>
      <w:r>
        <w:rPr>
          <w:rFonts w:ascii="Arial" w:eastAsia="Arial" w:hAnsi="Arial" w:cs="Arial"/>
          <w:i/>
          <w:iCs/>
          <w:sz w:val="20"/>
          <w:szCs w:val="20"/>
        </w:rPr>
        <w:t>¿Incluye obra civil?</w:t>
      </w:r>
    </w:p>
    <w:p w14:paraId="4B32C190" w14:textId="77777777" w:rsidR="00BE6367" w:rsidRDefault="00C90F6A">
      <w:pPr>
        <w:numPr>
          <w:ilvl w:val="0"/>
          <w:numId w:val="28"/>
        </w:numPr>
        <w:spacing w:before="120" w:after="0" w:line="240" w:lineRule="auto"/>
        <w:jc w:val="both"/>
        <w:rPr>
          <w:rFonts w:ascii="Arial" w:eastAsia="Arial" w:hAnsi="Arial" w:cs="Arial"/>
          <w:i/>
          <w:iCs/>
          <w:sz w:val="20"/>
          <w:szCs w:val="20"/>
        </w:rPr>
      </w:pPr>
      <w:r>
        <w:rPr>
          <w:rFonts w:ascii="Arial" w:eastAsia="Arial" w:hAnsi="Arial" w:cs="Arial"/>
          <w:i/>
          <w:iCs/>
          <w:sz w:val="20"/>
          <w:szCs w:val="20"/>
        </w:rPr>
        <w:t>¿Incluye carpintería?</w:t>
      </w:r>
    </w:p>
    <w:p w14:paraId="753892B7" w14:textId="77777777" w:rsidR="00BE6367" w:rsidRDefault="00C90F6A">
      <w:pPr>
        <w:numPr>
          <w:ilvl w:val="0"/>
          <w:numId w:val="28"/>
        </w:numPr>
        <w:spacing w:before="120" w:after="0" w:line="240" w:lineRule="auto"/>
        <w:jc w:val="both"/>
        <w:rPr>
          <w:rFonts w:ascii="Arial" w:eastAsia="Arial" w:hAnsi="Arial" w:cs="Arial"/>
          <w:i/>
          <w:iCs/>
          <w:sz w:val="20"/>
          <w:szCs w:val="20"/>
        </w:rPr>
      </w:pPr>
      <w:r>
        <w:rPr>
          <w:rFonts w:ascii="Arial" w:eastAsia="Arial" w:hAnsi="Arial" w:cs="Arial"/>
          <w:i/>
          <w:iCs/>
          <w:sz w:val="20"/>
          <w:szCs w:val="20"/>
        </w:rPr>
        <w:t>¿Incluye pintura?</w:t>
      </w:r>
    </w:p>
    <w:p w14:paraId="16617BC8" w14:textId="77777777" w:rsidR="00BE6367" w:rsidRDefault="00C90F6A">
      <w:pPr>
        <w:numPr>
          <w:ilvl w:val="0"/>
          <w:numId w:val="28"/>
        </w:numPr>
        <w:spacing w:before="120" w:after="0" w:line="240" w:lineRule="auto"/>
        <w:jc w:val="both"/>
        <w:rPr>
          <w:rFonts w:ascii="Arial" w:eastAsia="Arial" w:hAnsi="Arial" w:cs="Arial"/>
          <w:i/>
          <w:iCs/>
          <w:sz w:val="20"/>
          <w:szCs w:val="20"/>
        </w:rPr>
      </w:pPr>
      <w:r>
        <w:rPr>
          <w:rFonts w:ascii="Arial" w:eastAsia="Arial" w:hAnsi="Arial" w:cs="Arial"/>
          <w:i/>
          <w:iCs/>
          <w:sz w:val="20"/>
          <w:szCs w:val="20"/>
        </w:rPr>
        <w:lastRenderedPageBreak/>
        <w:t>¿Incluye mobiliario?</w:t>
      </w:r>
    </w:p>
    <w:p w14:paraId="34D66087" w14:textId="77777777" w:rsidR="00BE6367" w:rsidRDefault="00C90F6A">
      <w:pPr>
        <w:numPr>
          <w:ilvl w:val="0"/>
          <w:numId w:val="28"/>
        </w:numPr>
        <w:spacing w:before="120" w:after="0" w:line="240" w:lineRule="auto"/>
        <w:jc w:val="both"/>
        <w:rPr>
          <w:rFonts w:ascii="Arial" w:eastAsia="Arial" w:hAnsi="Arial" w:cs="Arial"/>
          <w:i/>
          <w:iCs/>
          <w:sz w:val="20"/>
          <w:szCs w:val="20"/>
        </w:rPr>
      </w:pPr>
      <w:r>
        <w:rPr>
          <w:rFonts w:ascii="Arial" w:eastAsia="Arial" w:hAnsi="Arial" w:cs="Arial"/>
          <w:i/>
          <w:iCs/>
          <w:sz w:val="20"/>
          <w:szCs w:val="20"/>
        </w:rPr>
        <w:t>¿Incluye adecuación eléctrica?</w:t>
      </w:r>
    </w:p>
    <w:p w14:paraId="1F41EFB7" w14:textId="77777777" w:rsidR="00BE6367" w:rsidRDefault="00BE6367">
      <w:pPr>
        <w:spacing w:before="120" w:after="0" w:line="240" w:lineRule="auto"/>
        <w:jc w:val="both"/>
        <w:rPr>
          <w:rFonts w:ascii="Arial" w:eastAsia="Arial" w:hAnsi="Arial" w:cs="Arial"/>
          <w:i/>
          <w:iCs/>
          <w:sz w:val="20"/>
          <w:szCs w:val="20"/>
        </w:rPr>
      </w:pPr>
    </w:p>
    <w:p w14:paraId="3F95FCB2" w14:textId="77777777" w:rsidR="00BE6367" w:rsidRDefault="00BE6367">
      <w:pPr>
        <w:spacing w:before="120" w:after="0" w:line="240" w:lineRule="auto"/>
        <w:jc w:val="both"/>
        <w:rPr>
          <w:rFonts w:ascii="Arial" w:eastAsia="Arial" w:hAnsi="Arial" w:cs="Arial"/>
          <w:i/>
          <w:iCs/>
          <w:sz w:val="20"/>
          <w:szCs w:val="20"/>
        </w:rPr>
      </w:pPr>
    </w:p>
    <w:p w14:paraId="780C21DC"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047BF607"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 xml:space="preserve">No se incluye obra civil, remodelación estructural ni mobiliario nuevo. El contratista deberá incluir acondicionamientos mínimos (carpintería, pintura y adecuación eléctrica puntual) para entregar la solución instalada y en pleno funcionamiento, exceptuando cualquier intervención de carácter estructural. </w:t>
      </w:r>
    </w:p>
    <w:p w14:paraId="229A1CD2" w14:textId="77777777" w:rsidR="00BE6367" w:rsidRDefault="00BE6367">
      <w:pPr>
        <w:spacing w:before="120" w:after="0" w:line="240" w:lineRule="auto"/>
        <w:jc w:val="both"/>
        <w:rPr>
          <w:rFonts w:ascii="Arial" w:eastAsia="Arial" w:hAnsi="Arial" w:cs="Arial"/>
          <w:sz w:val="20"/>
          <w:szCs w:val="20"/>
        </w:rPr>
      </w:pPr>
    </w:p>
    <w:p w14:paraId="0D507990" w14:textId="77777777" w:rsidR="00BE6367" w:rsidRDefault="00C90F6A">
      <w:pPr>
        <w:spacing w:before="120"/>
        <w:jc w:val="both"/>
        <w:rPr>
          <w:rFonts w:ascii="Arial" w:eastAsia="Arial" w:hAnsi="Arial" w:cs="Arial"/>
          <w:i/>
          <w:iCs/>
          <w:sz w:val="20"/>
          <w:szCs w:val="20"/>
        </w:rPr>
      </w:pPr>
      <w:r>
        <w:rPr>
          <w:rFonts w:ascii="Arial" w:eastAsia="Arial" w:hAnsi="Arial" w:cs="Arial"/>
          <w:b/>
          <w:bCs/>
          <w:i/>
          <w:iCs/>
          <w:sz w:val="20"/>
          <w:szCs w:val="20"/>
        </w:rPr>
        <w:t>OBSERVACIÓN 25.</w:t>
      </w:r>
    </w:p>
    <w:p w14:paraId="6354318C"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t>ITEM 54. INSTALACIÓN Y PUESTA EN MARCHA</w:t>
      </w:r>
    </w:p>
    <w:p w14:paraId="2FFDB674" w14:textId="77777777" w:rsidR="00BE6367" w:rsidRDefault="00C90F6A">
      <w:pPr>
        <w:numPr>
          <w:ilvl w:val="0"/>
          <w:numId w:val="29"/>
        </w:numPr>
        <w:spacing w:before="120" w:after="0" w:line="240" w:lineRule="auto"/>
        <w:jc w:val="both"/>
        <w:rPr>
          <w:rFonts w:ascii="Arial" w:eastAsia="Arial" w:hAnsi="Arial" w:cs="Arial"/>
          <w:i/>
          <w:iCs/>
          <w:sz w:val="20"/>
          <w:szCs w:val="20"/>
        </w:rPr>
      </w:pPr>
      <w:r>
        <w:rPr>
          <w:rFonts w:ascii="Arial" w:eastAsia="Arial" w:hAnsi="Arial" w:cs="Arial"/>
          <w:i/>
          <w:iCs/>
          <w:sz w:val="20"/>
          <w:szCs w:val="20"/>
        </w:rPr>
        <w:t>¿Horario de instalación?</w:t>
      </w:r>
    </w:p>
    <w:p w14:paraId="334D5DE1"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3A173D22"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 xml:space="preserve">Preguntas respondidas en la observación "SOLUCIÓN AUDIOVISUAL A NIVEL GENERAL" Punto #4 </w:t>
      </w:r>
    </w:p>
    <w:p w14:paraId="28910444" w14:textId="77777777" w:rsidR="00BE6367" w:rsidRDefault="00C90F6A">
      <w:pPr>
        <w:numPr>
          <w:ilvl w:val="0"/>
          <w:numId w:val="29"/>
        </w:numPr>
        <w:spacing w:before="120" w:after="0" w:line="240" w:lineRule="auto"/>
        <w:jc w:val="both"/>
        <w:rPr>
          <w:rFonts w:ascii="Arial" w:eastAsia="Arial" w:hAnsi="Arial" w:cs="Arial"/>
          <w:i/>
          <w:iCs/>
          <w:sz w:val="20"/>
          <w:szCs w:val="20"/>
        </w:rPr>
      </w:pPr>
      <w:r>
        <w:rPr>
          <w:rFonts w:ascii="Arial" w:eastAsia="Arial" w:hAnsi="Arial" w:cs="Arial"/>
          <w:i/>
          <w:iCs/>
          <w:sz w:val="20"/>
          <w:szCs w:val="20"/>
        </w:rPr>
        <w:t>¿Se permite trabajo nocturno?</w:t>
      </w:r>
    </w:p>
    <w:p w14:paraId="5E5D600B"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3F3A80CE" w14:textId="77777777" w:rsidR="00BE6367" w:rsidRDefault="00C90F6A">
      <w:pPr>
        <w:spacing w:before="120" w:after="0" w:line="240" w:lineRule="auto"/>
        <w:jc w:val="both"/>
        <w:rPr>
          <w:rFonts w:ascii="Arial" w:eastAsia="Arial" w:hAnsi="Arial" w:cs="Arial"/>
          <w:i/>
          <w:iCs/>
          <w:sz w:val="20"/>
          <w:szCs w:val="20"/>
        </w:rPr>
      </w:pPr>
      <w:r>
        <w:rPr>
          <w:rFonts w:ascii="Arial" w:eastAsia="Arial" w:hAnsi="Arial" w:cs="Arial"/>
          <w:sz w:val="20"/>
          <w:szCs w:val="20"/>
        </w:rPr>
        <w:t xml:space="preserve">Preguntas respondidas en la observación "SOLUCIÓN AUDIOVISUAL A NIVEL GENERAL" Punto #4 </w:t>
      </w:r>
    </w:p>
    <w:p w14:paraId="426C2D83" w14:textId="77777777" w:rsidR="00BE6367" w:rsidRDefault="00C90F6A">
      <w:pPr>
        <w:numPr>
          <w:ilvl w:val="0"/>
          <w:numId w:val="29"/>
        </w:numPr>
        <w:spacing w:before="120" w:after="0" w:line="240" w:lineRule="auto"/>
        <w:jc w:val="both"/>
        <w:rPr>
          <w:rFonts w:ascii="Arial" w:eastAsia="Arial" w:hAnsi="Arial" w:cs="Arial"/>
          <w:i/>
          <w:iCs/>
          <w:sz w:val="20"/>
          <w:szCs w:val="20"/>
        </w:rPr>
      </w:pPr>
      <w:r>
        <w:rPr>
          <w:rFonts w:ascii="Arial" w:eastAsia="Arial" w:hAnsi="Arial" w:cs="Arial"/>
          <w:i/>
          <w:iCs/>
          <w:sz w:val="20"/>
          <w:szCs w:val="20"/>
        </w:rPr>
        <w:t>¿Se requiere PM detallado?</w:t>
      </w:r>
    </w:p>
    <w:p w14:paraId="4B1AC9CA" w14:textId="77777777" w:rsidR="00BE6367" w:rsidRDefault="00C90F6A">
      <w:pPr>
        <w:spacing w:before="120" w:after="0" w:line="240"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5DBC23FF"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 xml:space="preserve">Sí, se requiere la presentación de un Project Management (PM) detallado, que incluya, como mínimo, cronograma de instalación por sede, plan de gestión de riesgos del proyecto, informes periódicos de avance y mecanismos de seguimiento y control acordados con la supervisión del contrato. </w:t>
      </w:r>
    </w:p>
    <w:p w14:paraId="15BDD0C5" w14:textId="77777777" w:rsidR="00BE6367" w:rsidRDefault="00C90F6A">
      <w:pPr>
        <w:spacing w:before="120"/>
        <w:jc w:val="both"/>
        <w:rPr>
          <w:rFonts w:ascii="Arial" w:eastAsia="Arial" w:hAnsi="Arial" w:cs="Arial"/>
          <w:i/>
          <w:iCs/>
          <w:sz w:val="20"/>
          <w:szCs w:val="20"/>
        </w:rPr>
      </w:pPr>
      <w:r>
        <w:rPr>
          <w:rFonts w:ascii="Arial" w:eastAsia="Arial" w:hAnsi="Arial" w:cs="Arial"/>
          <w:b/>
          <w:bCs/>
          <w:i/>
          <w:iCs/>
          <w:sz w:val="20"/>
          <w:szCs w:val="20"/>
        </w:rPr>
        <w:t>OBSERVACIÓN 26.</w:t>
      </w:r>
    </w:p>
    <w:p w14:paraId="2DFED4F5"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t>ITEM 55. AUTOMATIZACIÓN SALA DE AUDIENCIAS</w:t>
      </w:r>
    </w:p>
    <w:p w14:paraId="243C881B" w14:textId="77777777" w:rsidR="00BE6367" w:rsidRDefault="00C90F6A">
      <w:pPr>
        <w:numPr>
          <w:ilvl w:val="0"/>
          <w:numId w:val="30"/>
        </w:numPr>
        <w:spacing w:before="120" w:after="0" w:line="240" w:lineRule="auto"/>
        <w:jc w:val="both"/>
        <w:rPr>
          <w:rFonts w:ascii="Arial" w:eastAsia="Arial" w:hAnsi="Arial" w:cs="Arial"/>
          <w:i/>
          <w:iCs/>
          <w:sz w:val="20"/>
          <w:szCs w:val="20"/>
        </w:rPr>
      </w:pPr>
      <w:r>
        <w:rPr>
          <w:rFonts w:ascii="Arial" w:eastAsia="Arial" w:hAnsi="Arial" w:cs="Arial"/>
          <w:i/>
          <w:iCs/>
          <w:sz w:val="20"/>
          <w:szCs w:val="20"/>
        </w:rPr>
        <w:t>¿Qué elementos serán controlados?</w:t>
      </w:r>
    </w:p>
    <w:p w14:paraId="413E4A20" w14:textId="77777777" w:rsidR="00BE6367" w:rsidRDefault="00C90F6A">
      <w:pPr>
        <w:numPr>
          <w:ilvl w:val="0"/>
          <w:numId w:val="30"/>
        </w:numPr>
        <w:spacing w:before="120" w:after="0" w:line="240" w:lineRule="auto"/>
        <w:jc w:val="both"/>
        <w:rPr>
          <w:rFonts w:ascii="Arial" w:eastAsia="Arial" w:hAnsi="Arial" w:cs="Arial"/>
          <w:i/>
          <w:iCs/>
          <w:sz w:val="20"/>
          <w:szCs w:val="20"/>
        </w:rPr>
      </w:pPr>
      <w:r>
        <w:rPr>
          <w:rFonts w:ascii="Arial" w:eastAsia="Arial" w:hAnsi="Arial" w:cs="Arial"/>
          <w:i/>
          <w:iCs/>
          <w:sz w:val="20"/>
          <w:szCs w:val="20"/>
        </w:rPr>
        <w:t>¿Escenarios requeridos?</w:t>
      </w:r>
    </w:p>
    <w:p w14:paraId="0DAE910F" w14:textId="77777777" w:rsidR="00BE6367" w:rsidRDefault="00C90F6A">
      <w:pPr>
        <w:numPr>
          <w:ilvl w:val="0"/>
          <w:numId w:val="30"/>
        </w:numPr>
        <w:spacing w:before="120" w:after="0" w:line="240" w:lineRule="auto"/>
        <w:jc w:val="both"/>
        <w:rPr>
          <w:rFonts w:ascii="Arial" w:eastAsia="Arial" w:hAnsi="Arial" w:cs="Arial"/>
          <w:i/>
          <w:iCs/>
          <w:sz w:val="20"/>
          <w:szCs w:val="20"/>
        </w:rPr>
      </w:pPr>
      <w:r>
        <w:rPr>
          <w:rFonts w:ascii="Arial" w:eastAsia="Arial" w:hAnsi="Arial" w:cs="Arial"/>
          <w:i/>
          <w:iCs/>
          <w:sz w:val="20"/>
          <w:szCs w:val="20"/>
        </w:rPr>
        <w:t>¿Integración con iluminación?</w:t>
      </w:r>
    </w:p>
    <w:p w14:paraId="7CFFA158" w14:textId="77777777" w:rsidR="00BE6367" w:rsidRDefault="00C90F6A">
      <w:pPr>
        <w:numPr>
          <w:ilvl w:val="0"/>
          <w:numId w:val="30"/>
        </w:numPr>
        <w:spacing w:before="120" w:after="0" w:line="240" w:lineRule="auto"/>
        <w:jc w:val="both"/>
        <w:rPr>
          <w:rFonts w:ascii="Arial" w:eastAsia="Arial" w:hAnsi="Arial" w:cs="Arial"/>
          <w:i/>
          <w:iCs/>
          <w:sz w:val="20"/>
          <w:szCs w:val="20"/>
        </w:rPr>
      </w:pPr>
      <w:r>
        <w:rPr>
          <w:rFonts w:ascii="Arial" w:eastAsia="Arial" w:hAnsi="Arial" w:cs="Arial"/>
          <w:i/>
          <w:iCs/>
          <w:sz w:val="20"/>
          <w:szCs w:val="20"/>
        </w:rPr>
        <w:t>¿Integración con audio/video?</w:t>
      </w:r>
    </w:p>
    <w:p w14:paraId="75DDB64F" w14:textId="77777777" w:rsidR="00BE6367" w:rsidRDefault="00C90F6A">
      <w:pPr>
        <w:numPr>
          <w:ilvl w:val="0"/>
          <w:numId w:val="30"/>
        </w:numPr>
        <w:spacing w:before="120" w:after="0" w:line="240" w:lineRule="auto"/>
        <w:jc w:val="both"/>
        <w:rPr>
          <w:rFonts w:ascii="Arial" w:eastAsia="Arial" w:hAnsi="Arial" w:cs="Arial"/>
          <w:i/>
          <w:iCs/>
          <w:sz w:val="20"/>
          <w:szCs w:val="20"/>
        </w:rPr>
      </w:pPr>
      <w:r>
        <w:rPr>
          <w:rFonts w:ascii="Arial" w:eastAsia="Arial" w:hAnsi="Arial" w:cs="Arial"/>
          <w:i/>
          <w:iCs/>
          <w:sz w:val="20"/>
          <w:szCs w:val="20"/>
        </w:rPr>
        <w:t>¿Interfaz gráfica personalizada?</w:t>
      </w:r>
    </w:p>
    <w:p w14:paraId="55A7F2F4" w14:textId="77777777" w:rsidR="00BE6367" w:rsidRDefault="00C90F6A">
      <w:pPr>
        <w:spacing w:before="120"/>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27205707" w14:textId="77777777" w:rsidR="00BE6367" w:rsidRDefault="00C90F6A">
      <w:pPr>
        <w:spacing w:before="120"/>
        <w:jc w:val="both"/>
        <w:rPr>
          <w:rFonts w:ascii="Arial" w:eastAsia="Arial" w:hAnsi="Arial" w:cs="Arial"/>
          <w:sz w:val="20"/>
          <w:szCs w:val="20"/>
        </w:rPr>
      </w:pPr>
      <w:r>
        <w:rPr>
          <w:rFonts w:ascii="Arial" w:eastAsia="Arial" w:hAnsi="Arial" w:cs="Arial"/>
          <w:sz w:val="20"/>
          <w:szCs w:val="20"/>
        </w:rPr>
        <w:t>El contratista deberá garantizar la automatización de todos los sistemas que sean necesarios en la sala de audiencias</w:t>
      </w:r>
    </w:p>
    <w:p w14:paraId="1EB77FF6" w14:textId="77777777" w:rsidR="00BE6367" w:rsidRDefault="00BE6367">
      <w:pPr>
        <w:spacing w:before="120"/>
        <w:jc w:val="both"/>
        <w:rPr>
          <w:rFonts w:ascii="Arial" w:eastAsia="Arial" w:hAnsi="Arial" w:cs="Arial"/>
          <w:sz w:val="20"/>
          <w:szCs w:val="20"/>
        </w:rPr>
      </w:pPr>
    </w:p>
    <w:p w14:paraId="00B4C0BC" w14:textId="77777777" w:rsidR="00BE6367" w:rsidRDefault="00C90F6A">
      <w:pPr>
        <w:spacing w:before="120"/>
        <w:jc w:val="both"/>
        <w:rPr>
          <w:rFonts w:ascii="Arial" w:eastAsia="Arial" w:hAnsi="Arial" w:cs="Arial"/>
          <w:i/>
          <w:iCs/>
          <w:sz w:val="20"/>
          <w:szCs w:val="20"/>
        </w:rPr>
      </w:pPr>
      <w:r>
        <w:rPr>
          <w:rFonts w:ascii="Arial" w:eastAsia="Arial" w:hAnsi="Arial" w:cs="Arial"/>
          <w:b/>
          <w:bCs/>
          <w:i/>
          <w:iCs/>
          <w:sz w:val="20"/>
          <w:szCs w:val="20"/>
        </w:rPr>
        <w:t>OBSERVACIÓN 27.</w:t>
      </w:r>
    </w:p>
    <w:p w14:paraId="3152A0E6"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t>ITEM 56. MANTENIMIENTOS PREVENTIVOS</w:t>
      </w:r>
    </w:p>
    <w:p w14:paraId="49F35EAA" w14:textId="77777777" w:rsidR="00BE6367" w:rsidRDefault="00C90F6A">
      <w:pPr>
        <w:numPr>
          <w:ilvl w:val="0"/>
          <w:numId w:val="31"/>
        </w:numPr>
        <w:spacing w:before="120" w:after="0" w:line="240" w:lineRule="auto"/>
        <w:jc w:val="both"/>
        <w:rPr>
          <w:rFonts w:ascii="Arial" w:eastAsia="Arial" w:hAnsi="Arial" w:cs="Arial"/>
          <w:i/>
          <w:iCs/>
          <w:sz w:val="20"/>
          <w:szCs w:val="20"/>
        </w:rPr>
      </w:pPr>
      <w:r>
        <w:rPr>
          <w:rFonts w:ascii="Arial" w:eastAsia="Arial" w:hAnsi="Arial" w:cs="Arial"/>
          <w:i/>
          <w:iCs/>
          <w:sz w:val="20"/>
          <w:szCs w:val="20"/>
        </w:rPr>
        <w:t>¿Durante cuánto tiempo?</w:t>
      </w:r>
    </w:p>
    <w:p w14:paraId="18836D33" w14:textId="77777777" w:rsidR="00BE6367" w:rsidRDefault="00C90F6A">
      <w:pPr>
        <w:numPr>
          <w:ilvl w:val="0"/>
          <w:numId w:val="31"/>
        </w:numPr>
        <w:spacing w:before="120" w:after="0" w:line="240" w:lineRule="auto"/>
        <w:jc w:val="both"/>
        <w:rPr>
          <w:rFonts w:ascii="Arial" w:eastAsia="Arial" w:hAnsi="Arial" w:cs="Arial"/>
          <w:i/>
          <w:iCs/>
          <w:sz w:val="20"/>
          <w:szCs w:val="20"/>
        </w:rPr>
      </w:pPr>
      <w:r>
        <w:rPr>
          <w:rFonts w:ascii="Arial" w:eastAsia="Arial" w:hAnsi="Arial" w:cs="Arial"/>
          <w:i/>
          <w:iCs/>
          <w:sz w:val="20"/>
          <w:szCs w:val="20"/>
        </w:rPr>
        <w:lastRenderedPageBreak/>
        <w:t>¿Cuántas visitas?</w:t>
      </w:r>
    </w:p>
    <w:p w14:paraId="0500F9A0" w14:textId="77777777" w:rsidR="00BE6367" w:rsidRDefault="00C90F6A">
      <w:pPr>
        <w:numPr>
          <w:ilvl w:val="0"/>
          <w:numId w:val="31"/>
        </w:numPr>
        <w:spacing w:before="120" w:after="0" w:line="240" w:lineRule="auto"/>
        <w:jc w:val="both"/>
        <w:rPr>
          <w:rFonts w:ascii="Arial" w:eastAsia="Arial" w:hAnsi="Arial" w:cs="Arial"/>
          <w:i/>
          <w:iCs/>
          <w:sz w:val="20"/>
          <w:szCs w:val="20"/>
        </w:rPr>
      </w:pPr>
      <w:r>
        <w:rPr>
          <w:rFonts w:ascii="Arial" w:eastAsia="Arial" w:hAnsi="Arial" w:cs="Arial"/>
          <w:i/>
          <w:iCs/>
          <w:sz w:val="20"/>
          <w:szCs w:val="20"/>
        </w:rPr>
        <w:t>¿Cobertura nacional?</w:t>
      </w:r>
    </w:p>
    <w:p w14:paraId="1175162A" w14:textId="77777777" w:rsidR="00BE6367" w:rsidRDefault="00C90F6A">
      <w:pPr>
        <w:numPr>
          <w:ilvl w:val="0"/>
          <w:numId w:val="31"/>
        </w:numPr>
        <w:spacing w:before="120" w:after="0" w:line="240" w:lineRule="auto"/>
        <w:jc w:val="both"/>
        <w:rPr>
          <w:rFonts w:ascii="Arial" w:eastAsia="Arial" w:hAnsi="Arial" w:cs="Arial"/>
          <w:i/>
          <w:iCs/>
          <w:sz w:val="20"/>
          <w:szCs w:val="20"/>
        </w:rPr>
      </w:pPr>
      <w:r>
        <w:rPr>
          <w:rFonts w:ascii="Arial" w:eastAsia="Arial" w:hAnsi="Arial" w:cs="Arial"/>
          <w:i/>
          <w:iCs/>
          <w:sz w:val="20"/>
          <w:szCs w:val="20"/>
        </w:rPr>
        <w:t>¿SLA esperado?</w:t>
      </w:r>
    </w:p>
    <w:p w14:paraId="53E01516" w14:textId="77777777" w:rsidR="00BE6367" w:rsidRDefault="00C90F6A">
      <w:pPr>
        <w:spacing w:before="120"/>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5695BFF0" w14:textId="77777777" w:rsidR="00BE6367" w:rsidRDefault="00C90F6A">
      <w:pPr>
        <w:spacing w:before="120"/>
        <w:jc w:val="both"/>
        <w:rPr>
          <w:rFonts w:ascii="Arial" w:eastAsia="Arial" w:hAnsi="Arial" w:cs="Arial"/>
          <w:b/>
          <w:bCs/>
          <w:i/>
          <w:iCs/>
          <w:sz w:val="20"/>
          <w:szCs w:val="20"/>
        </w:rPr>
      </w:pPr>
      <w:r>
        <w:rPr>
          <w:rFonts w:ascii="Arial" w:eastAsia="Arial" w:hAnsi="Arial" w:cs="Arial"/>
          <w:sz w:val="20"/>
          <w:szCs w:val="20"/>
        </w:rPr>
        <w:t>El contratista deberá garantizar el cuidado y vida útil de los equipos bajo los mantenimientos preventivos que se especifican en la FTN y FTP</w:t>
      </w:r>
    </w:p>
    <w:p w14:paraId="49F136F3" w14:textId="77777777" w:rsidR="00BE6367" w:rsidRDefault="00C90F6A">
      <w:pPr>
        <w:spacing w:before="120"/>
        <w:jc w:val="both"/>
        <w:rPr>
          <w:rFonts w:ascii="Arial" w:eastAsia="Arial" w:hAnsi="Arial" w:cs="Arial"/>
          <w:i/>
          <w:iCs/>
          <w:sz w:val="20"/>
          <w:szCs w:val="20"/>
        </w:rPr>
      </w:pPr>
      <w:r>
        <w:rPr>
          <w:rFonts w:ascii="Arial" w:eastAsia="Arial" w:hAnsi="Arial" w:cs="Arial"/>
          <w:b/>
          <w:bCs/>
          <w:i/>
          <w:iCs/>
          <w:sz w:val="20"/>
          <w:szCs w:val="20"/>
        </w:rPr>
        <w:t>OBSERVACIÓN 28.</w:t>
      </w:r>
    </w:p>
    <w:p w14:paraId="45D5DD2C"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t>ITEM 57. SOPORTE ESPECIALIZADO</w:t>
      </w:r>
    </w:p>
    <w:p w14:paraId="3892B31B" w14:textId="77777777" w:rsidR="00BE6367" w:rsidRDefault="00C90F6A">
      <w:pPr>
        <w:numPr>
          <w:ilvl w:val="0"/>
          <w:numId w:val="32"/>
        </w:numPr>
        <w:spacing w:before="120" w:after="0" w:line="240" w:lineRule="auto"/>
        <w:jc w:val="both"/>
        <w:rPr>
          <w:rFonts w:ascii="Arial" w:eastAsia="Arial" w:hAnsi="Arial" w:cs="Arial"/>
          <w:i/>
          <w:iCs/>
          <w:sz w:val="20"/>
          <w:szCs w:val="20"/>
        </w:rPr>
      </w:pPr>
      <w:r>
        <w:rPr>
          <w:rFonts w:ascii="Arial" w:eastAsia="Arial" w:hAnsi="Arial" w:cs="Arial"/>
          <w:i/>
          <w:iCs/>
          <w:sz w:val="20"/>
          <w:szCs w:val="20"/>
        </w:rPr>
        <w:t>¿Horario 5x8 o 7x24?</w:t>
      </w:r>
    </w:p>
    <w:p w14:paraId="6EEDEFA4" w14:textId="77777777" w:rsidR="00BE6367" w:rsidRDefault="00C90F6A">
      <w:pPr>
        <w:numPr>
          <w:ilvl w:val="0"/>
          <w:numId w:val="32"/>
        </w:numPr>
        <w:spacing w:before="120" w:after="0" w:line="240" w:lineRule="auto"/>
        <w:jc w:val="both"/>
        <w:rPr>
          <w:rFonts w:ascii="Arial" w:eastAsia="Arial" w:hAnsi="Arial" w:cs="Arial"/>
          <w:i/>
          <w:iCs/>
          <w:sz w:val="20"/>
          <w:szCs w:val="20"/>
        </w:rPr>
      </w:pPr>
      <w:r>
        <w:rPr>
          <w:rFonts w:ascii="Arial" w:eastAsia="Arial" w:hAnsi="Arial" w:cs="Arial"/>
          <w:i/>
          <w:iCs/>
          <w:sz w:val="20"/>
          <w:szCs w:val="20"/>
        </w:rPr>
        <w:t>¿Mesa de ayuda incluida?</w:t>
      </w:r>
    </w:p>
    <w:p w14:paraId="390F68CE" w14:textId="77777777" w:rsidR="00BE6367" w:rsidRDefault="00C90F6A">
      <w:pPr>
        <w:numPr>
          <w:ilvl w:val="0"/>
          <w:numId w:val="32"/>
        </w:numPr>
        <w:spacing w:before="120" w:after="0" w:line="240" w:lineRule="auto"/>
        <w:jc w:val="both"/>
        <w:rPr>
          <w:rFonts w:ascii="Arial" w:eastAsia="Arial" w:hAnsi="Arial" w:cs="Arial"/>
          <w:i/>
          <w:iCs/>
          <w:sz w:val="20"/>
          <w:szCs w:val="20"/>
        </w:rPr>
      </w:pPr>
      <w:r>
        <w:rPr>
          <w:rFonts w:ascii="Arial" w:eastAsia="Arial" w:hAnsi="Arial" w:cs="Arial"/>
          <w:i/>
          <w:iCs/>
          <w:sz w:val="20"/>
          <w:szCs w:val="20"/>
        </w:rPr>
        <w:t>¿Tiempo de atención?</w:t>
      </w:r>
    </w:p>
    <w:p w14:paraId="1F3474FD" w14:textId="77777777" w:rsidR="00BE6367" w:rsidRDefault="00C90F6A">
      <w:pPr>
        <w:numPr>
          <w:ilvl w:val="0"/>
          <w:numId w:val="32"/>
        </w:numPr>
        <w:spacing w:before="120" w:after="0" w:line="240" w:lineRule="auto"/>
        <w:jc w:val="both"/>
        <w:rPr>
          <w:rFonts w:ascii="Arial" w:eastAsia="Arial" w:hAnsi="Arial" w:cs="Arial"/>
          <w:i/>
          <w:iCs/>
          <w:sz w:val="20"/>
          <w:szCs w:val="20"/>
        </w:rPr>
      </w:pPr>
      <w:r>
        <w:rPr>
          <w:rFonts w:ascii="Arial" w:eastAsia="Arial" w:hAnsi="Arial" w:cs="Arial"/>
          <w:i/>
          <w:iCs/>
          <w:sz w:val="20"/>
          <w:szCs w:val="20"/>
        </w:rPr>
        <w:t>¿Tiempo de solución?</w:t>
      </w:r>
    </w:p>
    <w:p w14:paraId="3A78D2B2" w14:textId="77777777" w:rsidR="00BE6367" w:rsidRDefault="00C90F6A">
      <w:pPr>
        <w:numPr>
          <w:ilvl w:val="0"/>
          <w:numId w:val="32"/>
        </w:numPr>
        <w:spacing w:before="120" w:after="0" w:line="240" w:lineRule="auto"/>
        <w:jc w:val="both"/>
        <w:rPr>
          <w:rFonts w:ascii="Arial" w:eastAsia="Arial" w:hAnsi="Arial" w:cs="Arial"/>
          <w:i/>
          <w:iCs/>
          <w:sz w:val="20"/>
          <w:szCs w:val="20"/>
        </w:rPr>
      </w:pPr>
      <w:r>
        <w:rPr>
          <w:rFonts w:ascii="Arial" w:eastAsia="Arial" w:hAnsi="Arial" w:cs="Arial"/>
          <w:i/>
          <w:iCs/>
          <w:sz w:val="20"/>
          <w:szCs w:val="20"/>
        </w:rPr>
        <w:t>¿Ingeniero residente?</w:t>
      </w:r>
    </w:p>
    <w:p w14:paraId="4837C6C3" w14:textId="77777777" w:rsidR="00BE6367" w:rsidRDefault="00C90F6A">
      <w:pPr>
        <w:spacing w:before="120"/>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1ED1075A" w14:textId="77777777" w:rsidR="00BE6367" w:rsidRDefault="00C90F6A">
      <w:pPr>
        <w:spacing w:before="120"/>
        <w:jc w:val="both"/>
        <w:rPr>
          <w:rFonts w:ascii="Arial" w:eastAsia="Arial" w:hAnsi="Arial" w:cs="Arial"/>
          <w:sz w:val="20"/>
          <w:szCs w:val="20"/>
        </w:rPr>
      </w:pPr>
      <w:r>
        <w:rPr>
          <w:rFonts w:ascii="Arial" w:eastAsia="Arial" w:hAnsi="Arial" w:cs="Arial"/>
          <w:sz w:val="20"/>
          <w:szCs w:val="20"/>
        </w:rPr>
        <w:t>El contratista deberá garantizar el acompañamiento pertinente para los sistemas ofertados con base en lo especificado en la FTN y FTP.</w:t>
      </w:r>
    </w:p>
    <w:p w14:paraId="5413B95F" w14:textId="77777777" w:rsidR="00BE6367" w:rsidRDefault="00BE6367">
      <w:pPr>
        <w:spacing w:before="120"/>
        <w:jc w:val="both"/>
        <w:rPr>
          <w:rFonts w:ascii="Arial" w:eastAsia="Arial" w:hAnsi="Arial" w:cs="Arial"/>
          <w:sz w:val="20"/>
          <w:szCs w:val="20"/>
        </w:rPr>
      </w:pPr>
    </w:p>
    <w:p w14:paraId="13BB5BC3" w14:textId="77777777" w:rsidR="00BE6367" w:rsidRDefault="00C90F6A">
      <w:pPr>
        <w:spacing w:before="120"/>
        <w:jc w:val="both"/>
        <w:rPr>
          <w:rFonts w:ascii="Arial" w:eastAsia="Arial" w:hAnsi="Arial" w:cs="Arial"/>
          <w:i/>
          <w:iCs/>
          <w:sz w:val="20"/>
          <w:szCs w:val="20"/>
        </w:rPr>
      </w:pPr>
      <w:r>
        <w:rPr>
          <w:rFonts w:ascii="Arial" w:eastAsia="Arial" w:hAnsi="Arial" w:cs="Arial"/>
          <w:b/>
          <w:bCs/>
          <w:i/>
          <w:iCs/>
          <w:sz w:val="20"/>
          <w:szCs w:val="20"/>
        </w:rPr>
        <w:t>OBSERVACIÓN 29.</w:t>
      </w:r>
    </w:p>
    <w:p w14:paraId="15BC110C"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t>CARTAS Y CERTIFICACIONES DE SALAS DE AUDIENCIA</w:t>
      </w:r>
    </w:p>
    <w:p w14:paraId="6AE6BE97" w14:textId="77777777" w:rsidR="00BE6367" w:rsidRDefault="00C90F6A">
      <w:pPr>
        <w:spacing w:before="120"/>
        <w:jc w:val="both"/>
        <w:rPr>
          <w:rFonts w:ascii="Arial" w:eastAsia="Arial" w:hAnsi="Arial" w:cs="Arial"/>
          <w:b/>
          <w:bCs/>
          <w:i/>
          <w:iCs/>
          <w:sz w:val="20"/>
          <w:szCs w:val="20"/>
        </w:rPr>
      </w:pPr>
      <w:r>
        <w:rPr>
          <w:rFonts w:ascii="Arial" w:eastAsia="Arial" w:hAnsi="Arial" w:cs="Arial"/>
          <w:i/>
          <w:iCs/>
          <w:sz w:val="20"/>
          <w:szCs w:val="20"/>
        </w:rPr>
        <w:t>Las cartas emitidas por los fabricantes deberán estar dirigidas a la entidad contratante o, en su defecto, al integrador que presenta la oferta ante dicha entidad. Para efectos de validación, se aceptarán únicamente cartas que acrediten la condición de Partner certificado del fabricante. Para las soluiciones de salas de audiencia, automatización de espacios corporativos, es política de varios fabricantes no entregar cartas, ya que solo lo hacen por un registro de oportunidad, esto delimita la participación plural de los oferentes, por tal razón se propone que permita que se presente alguna de estas:</w:t>
      </w:r>
    </w:p>
    <w:p w14:paraId="312AA0C4"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t>Cartas de fabricante</w:t>
      </w:r>
    </w:p>
    <w:p w14:paraId="4B66470F" w14:textId="77777777" w:rsidR="00BE6367" w:rsidRDefault="00C90F6A">
      <w:pPr>
        <w:numPr>
          <w:ilvl w:val="0"/>
          <w:numId w:val="33"/>
        </w:numPr>
        <w:spacing w:before="120" w:after="0" w:line="240" w:lineRule="auto"/>
        <w:jc w:val="both"/>
        <w:rPr>
          <w:rFonts w:ascii="Arial" w:eastAsia="Arial" w:hAnsi="Arial" w:cs="Arial"/>
          <w:i/>
          <w:iCs/>
        </w:rPr>
      </w:pPr>
      <w:r>
        <w:rPr>
          <w:rFonts w:ascii="Arial" w:eastAsia="Arial" w:hAnsi="Arial" w:cs="Arial"/>
          <w:i/>
          <w:iCs/>
          <w:sz w:val="20"/>
          <w:szCs w:val="20"/>
        </w:rPr>
        <w:t>Carta de distribuidor autorizado.</w:t>
      </w:r>
    </w:p>
    <w:p w14:paraId="2DC0EBB5" w14:textId="77777777" w:rsidR="00BE6367" w:rsidRDefault="00C90F6A">
      <w:pPr>
        <w:numPr>
          <w:ilvl w:val="0"/>
          <w:numId w:val="33"/>
        </w:numPr>
        <w:spacing w:before="120" w:after="0" w:line="240" w:lineRule="auto"/>
        <w:jc w:val="both"/>
        <w:rPr>
          <w:rFonts w:ascii="Arial" w:eastAsia="Arial" w:hAnsi="Arial" w:cs="Arial"/>
          <w:i/>
          <w:iCs/>
        </w:rPr>
      </w:pPr>
      <w:r>
        <w:rPr>
          <w:rFonts w:ascii="Arial" w:eastAsia="Arial" w:hAnsi="Arial" w:cs="Arial"/>
          <w:i/>
          <w:iCs/>
          <w:sz w:val="20"/>
          <w:szCs w:val="20"/>
        </w:rPr>
        <w:t>Carta de partner certificado.</w:t>
      </w:r>
    </w:p>
    <w:p w14:paraId="5D1F4FC0" w14:textId="77777777" w:rsidR="00BE6367" w:rsidRDefault="00C90F6A">
      <w:pPr>
        <w:numPr>
          <w:ilvl w:val="0"/>
          <w:numId w:val="33"/>
        </w:numPr>
        <w:spacing w:before="120" w:after="0" w:line="240" w:lineRule="auto"/>
        <w:jc w:val="both"/>
        <w:rPr>
          <w:rFonts w:ascii="Arial" w:eastAsia="Arial" w:hAnsi="Arial" w:cs="Arial"/>
          <w:i/>
          <w:iCs/>
        </w:rPr>
      </w:pPr>
      <w:r>
        <w:rPr>
          <w:rFonts w:ascii="Arial" w:eastAsia="Arial" w:hAnsi="Arial" w:cs="Arial"/>
          <w:i/>
          <w:iCs/>
          <w:sz w:val="20"/>
          <w:szCs w:val="20"/>
        </w:rPr>
        <w:t>Carta de disponibilidad de repuestos.</w:t>
      </w:r>
    </w:p>
    <w:p w14:paraId="15436027" w14:textId="77777777" w:rsidR="00BE6367" w:rsidRDefault="00C90F6A">
      <w:pPr>
        <w:numPr>
          <w:ilvl w:val="0"/>
          <w:numId w:val="33"/>
        </w:numPr>
        <w:spacing w:before="120" w:after="0" w:line="240" w:lineRule="auto"/>
        <w:jc w:val="both"/>
        <w:rPr>
          <w:rFonts w:ascii="Arial" w:eastAsia="Arial" w:hAnsi="Arial" w:cs="Arial"/>
          <w:i/>
          <w:iCs/>
        </w:rPr>
      </w:pPr>
      <w:r>
        <w:rPr>
          <w:rFonts w:ascii="Arial" w:eastAsia="Arial" w:hAnsi="Arial" w:cs="Arial"/>
          <w:i/>
          <w:iCs/>
          <w:sz w:val="20"/>
          <w:szCs w:val="20"/>
        </w:rPr>
        <w:t>Carta de garantía del fabricante.</w:t>
      </w:r>
    </w:p>
    <w:p w14:paraId="54CC851E" w14:textId="77777777" w:rsidR="00BE6367" w:rsidRDefault="00C90F6A">
      <w:pPr>
        <w:numPr>
          <w:ilvl w:val="0"/>
          <w:numId w:val="33"/>
        </w:numPr>
        <w:spacing w:before="120" w:after="0" w:line="240" w:lineRule="auto"/>
        <w:jc w:val="both"/>
        <w:rPr>
          <w:rFonts w:ascii="Arial" w:eastAsia="Arial" w:hAnsi="Arial" w:cs="Arial"/>
          <w:i/>
          <w:iCs/>
        </w:rPr>
      </w:pPr>
      <w:r>
        <w:rPr>
          <w:rFonts w:ascii="Arial" w:eastAsia="Arial" w:hAnsi="Arial" w:cs="Arial"/>
          <w:i/>
          <w:iCs/>
          <w:sz w:val="20"/>
          <w:szCs w:val="20"/>
        </w:rPr>
        <w:t>Carta de soporte local en Colombia.</w:t>
      </w:r>
    </w:p>
    <w:p w14:paraId="451BBEA4" w14:textId="77777777" w:rsidR="00BE6367" w:rsidRDefault="00C90F6A">
      <w:pPr>
        <w:numPr>
          <w:ilvl w:val="0"/>
          <w:numId w:val="33"/>
        </w:numPr>
        <w:spacing w:before="120" w:after="0" w:line="240" w:lineRule="auto"/>
        <w:jc w:val="both"/>
        <w:rPr>
          <w:rFonts w:ascii="Arial" w:eastAsia="Arial" w:hAnsi="Arial" w:cs="Arial"/>
          <w:i/>
          <w:iCs/>
        </w:rPr>
      </w:pPr>
      <w:r>
        <w:rPr>
          <w:rFonts w:ascii="Arial" w:eastAsia="Arial" w:hAnsi="Arial" w:cs="Arial"/>
          <w:i/>
          <w:iCs/>
          <w:sz w:val="20"/>
          <w:szCs w:val="20"/>
        </w:rPr>
        <w:t>Carta de continuidad de producto (no EOL).</w:t>
      </w:r>
    </w:p>
    <w:p w14:paraId="546D8540"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t>Certificaciones empresariales</w:t>
      </w:r>
    </w:p>
    <w:p w14:paraId="089DC2C4" w14:textId="77777777" w:rsidR="00BE6367" w:rsidRDefault="00C90F6A">
      <w:pPr>
        <w:numPr>
          <w:ilvl w:val="0"/>
          <w:numId w:val="35"/>
        </w:numPr>
        <w:spacing w:before="120" w:after="0" w:line="240" w:lineRule="auto"/>
        <w:jc w:val="both"/>
        <w:rPr>
          <w:rFonts w:ascii="Arial" w:eastAsia="Arial" w:hAnsi="Arial" w:cs="Arial"/>
          <w:i/>
          <w:iCs/>
        </w:rPr>
      </w:pPr>
      <w:r>
        <w:rPr>
          <w:rFonts w:ascii="Arial" w:eastAsia="Arial" w:hAnsi="Arial" w:cs="Arial"/>
          <w:i/>
          <w:iCs/>
          <w:sz w:val="20"/>
          <w:szCs w:val="20"/>
        </w:rPr>
        <w:t>ISO 9001.</w:t>
      </w:r>
    </w:p>
    <w:p w14:paraId="27459CDD" w14:textId="77777777" w:rsidR="00BE6367" w:rsidRDefault="00C90F6A">
      <w:pPr>
        <w:numPr>
          <w:ilvl w:val="0"/>
          <w:numId w:val="35"/>
        </w:numPr>
        <w:spacing w:before="120" w:after="0" w:line="240" w:lineRule="auto"/>
        <w:jc w:val="both"/>
        <w:rPr>
          <w:rFonts w:ascii="Arial" w:eastAsia="Arial" w:hAnsi="Arial" w:cs="Arial"/>
          <w:i/>
          <w:iCs/>
        </w:rPr>
      </w:pPr>
      <w:r>
        <w:rPr>
          <w:rFonts w:ascii="Arial" w:eastAsia="Arial" w:hAnsi="Arial" w:cs="Arial"/>
          <w:i/>
          <w:iCs/>
          <w:sz w:val="20"/>
          <w:szCs w:val="20"/>
        </w:rPr>
        <w:t>ISO 27001.</w:t>
      </w:r>
    </w:p>
    <w:p w14:paraId="349FA4F3" w14:textId="77777777" w:rsidR="00BE6367" w:rsidRDefault="00C90F6A">
      <w:pPr>
        <w:numPr>
          <w:ilvl w:val="0"/>
          <w:numId w:val="35"/>
        </w:numPr>
        <w:spacing w:before="120" w:after="0" w:line="240" w:lineRule="auto"/>
        <w:jc w:val="both"/>
        <w:rPr>
          <w:rFonts w:ascii="Arial" w:eastAsia="Arial" w:hAnsi="Arial" w:cs="Arial"/>
          <w:i/>
          <w:iCs/>
        </w:rPr>
      </w:pPr>
      <w:r>
        <w:rPr>
          <w:rFonts w:ascii="Arial" w:eastAsia="Arial" w:hAnsi="Arial" w:cs="Arial"/>
          <w:i/>
          <w:iCs/>
          <w:sz w:val="20"/>
          <w:szCs w:val="20"/>
        </w:rPr>
        <w:t>ISO 14001.</w:t>
      </w:r>
    </w:p>
    <w:p w14:paraId="6B87CFDF" w14:textId="77777777" w:rsidR="00BE6367" w:rsidRDefault="00C90F6A">
      <w:pPr>
        <w:numPr>
          <w:ilvl w:val="0"/>
          <w:numId w:val="35"/>
        </w:numPr>
        <w:spacing w:before="120" w:after="0" w:line="240" w:lineRule="auto"/>
        <w:jc w:val="both"/>
        <w:rPr>
          <w:rFonts w:ascii="Arial" w:eastAsia="Arial" w:hAnsi="Arial" w:cs="Arial"/>
          <w:i/>
          <w:iCs/>
        </w:rPr>
      </w:pPr>
      <w:r>
        <w:rPr>
          <w:rFonts w:ascii="Arial" w:eastAsia="Arial" w:hAnsi="Arial" w:cs="Arial"/>
          <w:i/>
          <w:iCs/>
          <w:sz w:val="20"/>
          <w:szCs w:val="20"/>
        </w:rPr>
        <w:t>ISO 45001.</w:t>
      </w:r>
    </w:p>
    <w:p w14:paraId="543E96CC"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lastRenderedPageBreak/>
        <w:t>Certificaciones del personal</w:t>
      </w:r>
    </w:p>
    <w:p w14:paraId="002BE276" w14:textId="77777777" w:rsidR="00BE6367" w:rsidRPr="00AA7016" w:rsidRDefault="00C90F6A">
      <w:pPr>
        <w:numPr>
          <w:ilvl w:val="0"/>
          <w:numId w:val="36"/>
        </w:numPr>
        <w:spacing w:before="120" w:after="0" w:line="240" w:lineRule="auto"/>
        <w:jc w:val="both"/>
        <w:rPr>
          <w:rFonts w:ascii="Arial" w:eastAsia="Arial" w:hAnsi="Arial" w:cs="Arial"/>
          <w:i/>
          <w:iCs/>
          <w:lang w:val="pt-PT"/>
        </w:rPr>
      </w:pPr>
      <w:r w:rsidRPr="00AA7016">
        <w:rPr>
          <w:rFonts w:ascii="Arial" w:eastAsia="Arial" w:hAnsi="Arial" w:cs="Arial"/>
          <w:i/>
          <w:iCs/>
          <w:sz w:val="20"/>
          <w:szCs w:val="20"/>
          <w:lang w:val="pt-PT"/>
        </w:rPr>
        <w:t>CTS o CTS-D (AVIXA).</w:t>
      </w:r>
    </w:p>
    <w:p w14:paraId="2E9B6DE2" w14:textId="77777777" w:rsidR="00BE6367" w:rsidRPr="00AA7016" w:rsidRDefault="00C90F6A">
      <w:pPr>
        <w:numPr>
          <w:ilvl w:val="0"/>
          <w:numId w:val="36"/>
        </w:numPr>
        <w:spacing w:before="120" w:after="0" w:line="240" w:lineRule="auto"/>
        <w:jc w:val="both"/>
        <w:rPr>
          <w:rFonts w:ascii="Arial" w:eastAsia="Arial" w:hAnsi="Arial" w:cs="Arial"/>
          <w:i/>
          <w:iCs/>
          <w:lang w:val="pt-PT"/>
        </w:rPr>
      </w:pPr>
      <w:r w:rsidRPr="00AA7016">
        <w:rPr>
          <w:rFonts w:ascii="Arial" w:eastAsia="Arial" w:hAnsi="Arial" w:cs="Arial"/>
          <w:i/>
          <w:iCs/>
          <w:sz w:val="20"/>
          <w:szCs w:val="20"/>
          <w:lang w:val="pt-PT"/>
        </w:rPr>
        <w:t>Q-SYS Level 2 o superior.</w:t>
      </w:r>
    </w:p>
    <w:p w14:paraId="1BD3469B" w14:textId="77777777" w:rsidR="00BE6367" w:rsidRDefault="00C90F6A">
      <w:pPr>
        <w:numPr>
          <w:ilvl w:val="0"/>
          <w:numId w:val="36"/>
        </w:numPr>
        <w:spacing w:before="120" w:after="0" w:line="240" w:lineRule="auto"/>
        <w:jc w:val="both"/>
        <w:rPr>
          <w:rFonts w:ascii="Arial" w:eastAsia="Arial" w:hAnsi="Arial" w:cs="Arial"/>
          <w:i/>
          <w:iCs/>
        </w:rPr>
      </w:pPr>
      <w:r>
        <w:rPr>
          <w:rFonts w:ascii="Arial" w:eastAsia="Arial" w:hAnsi="Arial" w:cs="Arial"/>
          <w:i/>
          <w:iCs/>
          <w:sz w:val="20"/>
          <w:szCs w:val="20"/>
        </w:rPr>
        <w:t>Dante Level 3.</w:t>
      </w:r>
    </w:p>
    <w:p w14:paraId="13485F75" w14:textId="77777777" w:rsidR="00BE6367" w:rsidRDefault="00C90F6A">
      <w:pPr>
        <w:numPr>
          <w:ilvl w:val="0"/>
          <w:numId w:val="36"/>
        </w:numPr>
        <w:spacing w:before="120" w:after="0" w:line="240" w:lineRule="auto"/>
        <w:jc w:val="both"/>
        <w:rPr>
          <w:rFonts w:ascii="Arial" w:eastAsia="Arial" w:hAnsi="Arial" w:cs="Arial"/>
          <w:i/>
          <w:iCs/>
        </w:rPr>
      </w:pPr>
      <w:r>
        <w:rPr>
          <w:rFonts w:ascii="Arial" w:eastAsia="Arial" w:hAnsi="Arial" w:cs="Arial"/>
          <w:i/>
          <w:iCs/>
          <w:sz w:val="20"/>
          <w:szCs w:val="20"/>
        </w:rPr>
        <w:t>Microsoft Teams Rooms.</w:t>
      </w:r>
    </w:p>
    <w:p w14:paraId="5A82D95A" w14:textId="77777777" w:rsidR="00BE6367" w:rsidRDefault="00C90F6A">
      <w:pPr>
        <w:numPr>
          <w:ilvl w:val="0"/>
          <w:numId w:val="36"/>
        </w:numPr>
        <w:spacing w:before="120" w:after="0" w:line="240" w:lineRule="auto"/>
        <w:jc w:val="both"/>
        <w:rPr>
          <w:rFonts w:ascii="Arial" w:eastAsia="Arial" w:hAnsi="Arial" w:cs="Arial"/>
          <w:i/>
          <w:iCs/>
        </w:rPr>
      </w:pPr>
      <w:r>
        <w:rPr>
          <w:rFonts w:ascii="Arial" w:eastAsia="Arial" w:hAnsi="Arial" w:cs="Arial"/>
          <w:i/>
          <w:iCs/>
          <w:sz w:val="20"/>
          <w:szCs w:val="20"/>
        </w:rPr>
        <w:t>Cisco Collaboration.</w:t>
      </w:r>
    </w:p>
    <w:p w14:paraId="68D94755" w14:textId="77777777" w:rsidR="00BE6367" w:rsidRDefault="00C90F6A">
      <w:pPr>
        <w:numPr>
          <w:ilvl w:val="0"/>
          <w:numId w:val="36"/>
        </w:numPr>
        <w:spacing w:before="120" w:after="0" w:line="240" w:lineRule="auto"/>
        <w:jc w:val="both"/>
        <w:rPr>
          <w:rFonts w:ascii="Arial" w:eastAsia="Arial" w:hAnsi="Arial" w:cs="Arial"/>
          <w:i/>
          <w:iCs/>
        </w:rPr>
      </w:pPr>
      <w:r>
        <w:rPr>
          <w:rFonts w:ascii="Arial" w:eastAsia="Arial" w:hAnsi="Arial" w:cs="Arial"/>
          <w:i/>
          <w:iCs/>
          <w:sz w:val="20"/>
          <w:szCs w:val="20"/>
        </w:rPr>
        <w:t>Shure Audio Institute.</w:t>
      </w:r>
    </w:p>
    <w:p w14:paraId="72926875" w14:textId="77777777" w:rsidR="00BE6367" w:rsidRDefault="00C90F6A">
      <w:pPr>
        <w:numPr>
          <w:ilvl w:val="0"/>
          <w:numId w:val="36"/>
        </w:numPr>
        <w:spacing w:before="120" w:after="0" w:line="240" w:lineRule="auto"/>
        <w:jc w:val="both"/>
        <w:rPr>
          <w:rFonts w:ascii="Arial" w:eastAsia="Arial" w:hAnsi="Arial" w:cs="Arial"/>
          <w:i/>
          <w:iCs/>
        </w:rPr>
      </w:pPr>
      <w:r>
        <w:rPr>
          <w:rFonts w:ascii="Arial" w:eastAsia="Arial" w:hAnsi="Arial" w:cs="Arial"/>
          <w:i/>
          <w:iCs/>
          <w:sz w:val="20"/>
          <w:szCs w:val="20"/>
        </w:rPr>
        <w:t>Certificación de programación del sistema de control ofertado.</w:t>
      </w:r>
    </w:p>
    <w:p w14:paraId="75BE55E0" w14:textId="77777777" w:rsidR="00BE6367" w:rsidRDefault="00BE6367">
      <w:pPr>
        <w:spacing w:before="120" w:after="0" w:line="240" w:lineRule="auto"/>
        <w:jc w:val="both"/>
        <w:rPr>
          <w:rFonts w:ascii="Arial" w:eastAsia="Arial" w:hAnsi="Arial" w:cs="Arial"/>
          <w:i/>
          <w:iCs/>
          <w:sz w:val="20"/>
          <w:szCs w:val="20"/>
        </w:rPr>
      </w:pPr>
    </w:p>
    <w:p w14:paraId="21F15881" w14:textId="77777777" w:rsidR="00BE6367" w:rsidRDefault="00C90F6A">
      <w:pPr>
        <w:spacing w:before="120"/>
        <w:jc w:val="both"/>
        <w:rPr>
          <w:rFonts w:ascii="Arial" w:eastAsia="Arial" w:hAnsi="Arial" w:cs="Arial"/>
          <w:b/>
          <w:bCs/>
          <w:i/>
          <w:iCs/>
          <w:sz w:val="20"/>
          <w:szCs w:val="20"/>
        </w:rPr>
      </w:pPr>
      <w:r>
        <w:rPr>
          <w:rFonts w:ascii="Arial" w:eastAsia="Arial" w:hAnsi="Arial" w:cs="Arial"/>
          <w:b/>
          <w:bCs/>
          <w:i/>
          <w:iCs/>
          <w:sz w:val="20"/>
          <w:szCs w:val="20"/>
        </w:rPr>
        <w:t>Certificaciones de producto</w:t>
      </w:r>
    </w:p>
    <w:p w14:paraId="42DD1685" w14:textId="77777777" w:rsidR="00BE6367" w:rsidRDefault="00C90F6A">
      <w:pPr>
        <w:numPr>
          <w:ilvl w:val="0"/>
          <w:numId w:val="37"/>
        </w:numPr>
        <w:spacing w:before="120" w:after="0" w:line="240" w:lineRule="auto"/>
        <w:jc w:val="both"/>
        <w:rPr>
          <w:rFonts w:ascii="Arial" w:eastAsia="Arial" w:hAnsi="Arial" w:cs="Arial"/>
          <w:i/>
          <w:iCs/>
        </w:rPr>
      </w:pPr>
      <w:r>
        <w:rPr>
          <w:rFonts w:ascii="Arial" w:eastAsia="Arial" w:hAnsi="Arial" w:cs="Arial"/>
          <w:i/>
          <w:iCs/>
          <w:sz w:val="20"/>
          <w:szCs w:val="20"/>
        </w:rPr>
        <w:t>UL.</w:t>
      </w:r>
    </w:p>
    <w:p w14:paraId="36B5B4FF" w14:textId="77777777" w:rsidR="00BE6367" w:rsidRDefault="00C90F6A">
      <w:pPr>
        <w:numPr>
          <w:ilvl w:val="0"/>
          <w:numId w:val="37"/>
        </w:numPr>
        <w:spacing w:before="120" w:after="0" w:line="240" w:lineRule="auto"/>
        <w:jc w:val="both"/>
        <w:rPr>
          <w:rFonts w:ascii="Arial" w:eastAsia="Arial" w:hAnsi="Arial" w:cs="Arial"/>
          <w:i/>
          <w:iCs/>
        </w:rPr>
      </w:pPr>
      <w:r>
        <w:rPr>
          <w:rFonts w:ascii="Arial" w:eastAsia="Arial" w:hAnsi="Arial" w:cs="Arial"/>
          <w:i/>
          <w:iCs/>
          <w:sz w:val="20"/>
          <w:szCs w:val="20"/>
        </w:rPr>
        <w:t>FCC.</w:t>
      </w:r>
    </w:p>
    <w:p w14:paraId="73ED7BD1" w14:textId="77777777" w:rsidR="00BE6367" w:rsidRDefault="00C90F6A">
      <w:pPr>
        <w:numPr>
          <w:ilvl w:val="0"/>
          <w:numId w:val="37"/>
        </w:numPr>
        <w:spacing w:before="120" w:after="0" w:line="240" w:lineRule="auto"/>
        <w:jc w:val="both"/>
        <w:rPr>
          <w:rFonts w:ascii="Arial" w:eastAsia="Arial" w:hAnsi="Arial" w:cs="Arial"/>
          <w:i/>
          <w:iCs/>
        </w:rPr>
      </w:pPr>
      <w:r>
        <w:rPr>
          <w:rFonts w:ascii="Arial" w:eastAsia="Arial" w:hAnsi="Arial" w:cs="Arial"/>
          <w:i/>
          <w:iCs/>
          <w:sz w:val="20"/>
          <w:szCs w:val="20"/>
        </w:rPr>
        <w:t>CE.</w:t>
      </w:r>
    </w:p>
    <w:p w14:paraId="78B3F151" w14:textId="77777777" w:rsidR="00BE6367" w:rsidRDefault="00C90F6A">
      <w:pPr>
        <w:numPr>
          <w:ilvl w:val="0"/>
          <w:numId w:val="37"/>
        </w:numPr>
        <w:spacing w:before="120" w:after="0" w:line="240" w:lineRule="auto"/>
        <w:jc w:val="both"/>
        <w:rPr>
          <w:rFonts w:ascii="Arial" w:eastAsia="Arial" w:hAnsi="Arial" w:cs="Arial"/>
          <w:i/>
          <w:iCs/>
        </w:rPr>
      </w:pPr>
      <w:r>
        <w:rPr>
          <w:rFonts w:ascii="Arial" w:eastAsia="Arial" w:hAnsi="Arial" w:cs="Arial"/>
          <w:i/>
          <w:iCs/>
          <w:sz w:val="20"/>
          <w:szCs w:val="20"/>
        </w:rPr>
        <w:t>RoHS.</w:t>
      </w:r>
    </w:p>
    <w:p w14:paraId="2A3D9BF3" w14:textId="77777777" w:rsidR="00BE6367" w:rsidRDefault="00C90F6A">
      <w:pPr>
        <w:numPr>
          <w:ilvl w:val="0"/>
          <w:numId w:val="37"/>
        </w:numPr>
        <w:spacing w:before="120" w:after="0" w:line="240" w:lineRule="auto"/>
        <w:jc w:val="both"/>
        <w:rPr>
          <w:rFonts w:ascii="Arial" w:eastAsia="Arial" w:hAnsi="Arial" w:cs="Arial"/>
          <w:i/>
          <w:iCs/>
        </w:rPr>
      </w:pPr>
      <w:r>
        <w:rPr>
          <w:rFonts w:ascii="Arial" w:eastAsia="Arial" w:hAnsi="Arial" w:cs="Arial"/>
          <w:i/>
          <w:iCs/>
          <w:sz w:val="20"/>
          <w:szCs w:val="20"/>
        </w:rPr>
        <w:t>Energy Star.</w:t>
      </w:r>
    </w:p>
    <w:p w14:paraId="189485EF" w14:textId="77777777" w:rsidR="00BE6367" w:rsidRDefault="00C90F6A">
      <w:pPr>
        <w:numPr>
          <w:ilvl w:val="0"/>
          <w:numId w:val="37"/>
        </w:numPr>
        <w:spacing w:before="120" w:after="0" w:line="240" w:lineRule="auto"/>
        <w:jc w:val="both"/>
        <w:rPr>
          <w:rFonts w:ascii="Arial" w:eastAsia="Arial" w:hAnsi="Arial" w:cs="Arial"/>
          <w:i/>
          <w:iCs/>
        </w:rPr>
      </w:pPr>
      <w:r>
        <w:rPr>
          <w:rFonts w:ascii="Arial" w:eastAsia="Arial" w:hAnsi="Arial" w:cs="Arial"/>
          <w:i/>
          <w:iCs/>
          <w:sz w:val="20"/>
          <w:szCs w:val="20"/>
        </w:rPr>
        <w:t>EPEAT (cuando aplique).</w:t>
      </w:r>
    </w:p>
    <w:p w14:paraId="14E2CE56" w14:textId="77777777" w:rsidR="00BE6367" w:rsidRDefault="00C90F6A">
      <w:pPr>
        <w:numPr>
          <w:ilvl w:val="0"/>
          <w:numId w:val="37"/>
        </w:numPr>
        <w:spacing w:before="120" w:after="0" w:line="240" w:lineRule="auto"/>
        <w:jc w:val="both"/>
        <w:rPr>
          <w:rFonts w:ascii="Arial" w:eastAsia="Arial" w:hAnsi="Arial" w:cs="Arial"/>
          <w:i/>
          <w:iCs/>
        </w:rPr>
      </w:pPr>
      <w:r>
        <w:rPr>
          <w:rFonts w:ascii="Arial" w:eastAsia="Arial" w:hAnsi="Arial" w:cs="Arial"/>
          <w:i/>
          <w:iCs/>
          <w:sz w:val="20"/>
          <w:szCs w:val="20"/>
        </w:rPr>
        <w:t>TAA (si el fabricante la posee).</w:t>
      </w:r>
    </w:p>
    <w:p w14:paraId="5C1268AC" w14:textId="77777777" w:rsidR="00BE6367" w:rsidRDefault="00BE6367">
      <w:pPr>
        <w:spacing w:before="120" w:after="0" w:line="240" w:lineRule="auto"/>
        <w:jc w:val="both"/>
        <w:rPr>
          <w:rFonts w:ascii="Arial" w:eastAsia="Arial" w:hAnsi="Arial" w:cs="Arial"/>
          <w:i/>
          <w:iCs/>
          <w:sz w:val="20"/>
          <w:szCs w:val="20"/>
        </w:rPr>
      </w:pPr>
    </w:p>
    <w:p w14:paraId="49466780"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b/>
          <w:bCs/>
          <w:sz w:val="20"/>
          <w:szCs w:val="20"/>
        </w:rPr>
        <w:t>RESPUESTA DE OBSERVACIÓN:</w:t>
      </w:r>
      <w:r>
        <w:rPr>
          <w:rFonts w:ascii="Arial" w:eastAsia="Arial" w:hAnsi="Arial" w:cs="Arial"/>
          <w:sz w:val="20"/>
          <w:szCs w:val="20"/>
        </w:rPr>
        <w:t xml:space="preserve"> </w:t>
      </w:r>
    </w:p>
    <w:p w14:paraId="2CFD6B40" w14:textId="77777777" w:rsidR="00BE6367" w:rsidRDefault="00BE6367">
      <w:pPr>
        <w:spacing w:before="120" w:after="0" w:line="240" w:lineRule="auto"/>
        <w:jc w:val="both"/>
        <w:rPr>
          <w:rFonts w:ascii="Arial" w:eastAsia="Arial" w:hAnsi="Arial" w:cs="Arial"/>
          <w:sz w:val="20"/>
          <w:szCs w:val="20"/>
        </w:rPr>
      </w:pPr>
    </w:p>
    <w:p w14:paraId="1108303F"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No se acepta la observación. La Entidad mantiene la exigencia establecida en el FTN, consistente en la certificación suscrita por el representante legal del fabricante, o por quien esté autorizado por este, con fecha de expedición no mayor a 30 días calendario previos a la radicación de documentos, que acredite: (i) que el comitente vendedor es partner o distribuidor del fabricante de los equipos de cómputo de escritorio (ítem 1), computador de escritorio – workstation (ítem 2), monitor para equipos de cómputo (ítem 9), teclados (ítem 10) y mouse (ítem 11); (ii) que el comitente vendedor configurará los equipos de los ítems 1 y 2 con el sistema operativo preinstalado desde fábrica; (iii) que el comitente vendedor está autorizado para la comercialización, instalación, configuración y soporte técnico de la solución completa de video (ítem 38) y el altavoz profesional (ítem 37); (iv) que el comitente vendedor está autorizado para la venta, instalación, configuración, integración y soporte técnico de la unidad central de conferencia (ítem 39), micrófono de 50 cm (ítem 40), unidad de presidente (ítem 41) y unidad de delegado (ítem 42); y (v) que el comitente vendedor cuenta con personal técnico certificado por el fabricante en la instalación, configuración, integración y mantenimiento de estos últimos cuatro ítems.</w:t>
      </w:r>
    </w:p>
    <w:p w14:paraId="022FAAFF"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La Entidad considera que esta certificación constituye un mecanismo idóneo y proporcional para garantizar que el proponente adjudicatario cuente con el respaldo directo del fabricante y con la idoneidad técnica necesaria para la correcta instalación, configuración, integración, soporte y mantenimiento de equipos que resultan determinantes para el adecuado funcionamiento de las soluciones objeto del presente proceso, incluyendo las destinadas a la sala de audiencias.</w:t>
      </w:r>
    </w:p>
    <w:p w14:paraId="79BF9E66"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Frente a la alegación relativa a que algunos fabricantes de soluciones de automatización de espacios corporativos no expedirían cartas formales de partner o distribuidor, la Entidad no encuentra elementos suficientes para modificar el requisito, en la medida en que dicha certificación puede ser suscrita, conforme al propio tenor del requisito, no solo por el representante legal del fabricante, sino también por cualquier persona autorizada por éste para tal efecto, lo cual otorga flexibilidad razonable para su obtención por parte de los distintos proponentes interesados en el mercado.</w:t>
      </w:r>
    </w:p>
    <w:p w14:paraId="472C9DE0"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lastRenderedPageBreak/>
        <w:t>Se aclara, adicionalmente, que las certificaciones de producto (UL, FCC, CE, RoHS, Energy Star, EPEAT, TAA) mencionadas por el observante no corresponden a un requisito de experiencia o idoneidad del proponente (FTN), sino a especificaciones técnicas del bien, las cuales se encuentran reguladas en la ficha técnica del proceso (FTP), por lo que no resultan pertinentes para efectos de sustituir o complementar el requisito de certificación de fabricante aquí analizado.</w:t>
      </w:r>
    </w:p>
    <w:p w14:paraId="15B17DA8"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La Entidad se permite aclarar, adicionalmente, que, revisadas tanto la Ficha Técnica de Negociación como la Ficha Técnica de Producto, no se exige al comitente vendedor la acreditación de certificaciones de sistemas de gestión empresarial como requisito habilitante para participar en el proceso. En particular, los documentos del proceso no establecen la obligación de presentar certificaciones de gestión de calidad, gestión ambiental, seguridad y salud en el trabajo, seguridad de la información u otras de naturaleza similar, tales como ISO 9001, ISO 14001, ISO 45001 o ISO 27001.</w:t>
      </w:r>
    </w:p>
    <w:p w14:paraId="552E635B"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La Ficha Técnica de Producto sí contempla certificaciones y estándares técnicos aplicables a determinados bienes y soluciones, tales como EPEAT, Energy Star, RoHS, 80 Plus Platinum o Titanium, Google EDLA y demás certificaciones relacionadas con la eficiencia energética, sostenibilidad, seguridad, desempeño, compatibilidad o calidad de los productos ofertados. Estas certificaciones no corresponden a sistemas de gestión del proponente; su finalidad es verificar que los bienes ofrecidos cumplen con las características técnicas, ambientales, energéticas y funcionales definidas por la Entidad.</w:t>
      </w:r>
    </w:p>
    <w:p w14:paraId="6FA68547"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De igual manera, la Ficha Técnica de Negociación contempla certificaciones expedidas por fabricantes, certificaciones de distribución, respaldo de garantía y acreditaciones relacionadas con personal técnico certificado. Estas condiciones buscan garantizar la autenticidad de los equipos, la trazabilidad de la cadena de distribución, la validez de las garantías y la capacidad técnica para instalar, configurar, integrar y soportar las soluciones adquiridas.</w:t>
      </w:r>
    </w:p>
    <w:p w14:paraId="6253F239"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Por lo tanto, la observación parte de una premisa que no se encuentra incorporada en los documentos del proceso, al confundir las certificaciones técnicas y de producto con certificaciones de sistemas de gestión empresarial del proponente. En consecuencia, no resulta procedente eliminar, reducir o sustituir certificaciones de sistemas de gestión que no han sido exigidas en la FTN ni en la FTP.</w:t>
      </w:r>
    </w:p>
    <w:p w14:paraId="4980513E"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Por los anteriores motivos, no se accede a la observación y se aclara que las certificaciones previstas en la Ficha Técnica de Producto corresponden a los bienes, soluciones o fabricantes ofertados, y no a sistemas de gestión del proponente.</w:t>
      </w:r>
    </w:p>
    <w:p w14:paraId="5AB99DE0"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En consecuencia, se mantiene el requisito de certificación de fabricante en los términos definidos en el FTN, sin las modificaciones propuestas por el observante, no siendo procedente ajuste alguno al FTN.</w:t>
      </w:r>
    </w:p>
    <w:p w14:paraId="1DEA78DD" w14:textId="77777777" w:rsidR="00BE6367" w:rsidRDefault="00C90F6A">
      <w:pPr>
        <w:spacing w:before="120" w:after="0" w:line="240" w:lineRule="auto"/>
        <w:jc w:val="both"/>
        <w:rPr>
          <w:rFonts w:ascii="Arial" w:eastAsia="Arial" w:hAnsi="Arial" w:cs="Arial"/>
          <w:sz w:val="20"/>
          <w:szCs w:val="20"/>
        </w:rPr>
      </w:pPr>
      <w:r>
        <w:rPr>
          <w:rFonts w:ascii="Arial" w:eastAsia="Arial" w:hAnsi="Arial" w:cs="Arial"/>
          <w:sz w:val="20"/>
          <w:szCs w:val="20"/>
        </w:rPr>
        <w:t>.</w:t>
      </w:r>
    </w:p>
    <w:p w14:paraId="472B6BA2" w14:textId="77777777" w:rsidR="00BE6367" w:rsidRDefault="00BE6367">
      <w:pPr>
        <w:spacing w:before="120" w:after="0" w:line="240" w:lineRule="auto"/>
        <w:jc w:val="both"/>
        <w:rPr>
          <w:rFonts w:ascii="Arial" w:eastAsia="Arial" w:hAnsi="Arial" w:cs="Arial"/>
          <w:sz w:val="20"/>
          <w:szCs w:val="20"/>
        </w:rPr>
      </w:pPr>
    </w:p>
    <w:p w14:paraId="67CD0C47" w14:textId="77777777" w:rsidR="00BE6367" w:rsidRDefault="00BE6367">
      <w:pPr>
        <w:jc w:val="both"/>
        <w:rPr>
          <w:rFonts w:ascii="Arial" w:eastAsia="Arial" w:hAnsi="Arial" w:cs="Arial"/>
          <w:sz w:val="20"/>
          <w:szCs w:val="20"/>
        </w:rPr>
      </w:pPr>
    </w:p>
    <w:tbl>
      <w:tblPr>
        <w:tblStyle w:val="a9"/>
        <w:tblW w:w="8353" w:type="dxa"/>
        <w:tblInd w:w="0"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1570"/>
        <w:gridCol w:w="6783"/>
      </w:tblGrid>
      <w:tr w:rsidR="00BE6367" w14:paraId="39E8241F"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405CE53F"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Sociedad C. B.:</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46D3797A"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COMIAGRO S.A.</w:t>
            </w:r>
          </w:p>
        </w:tc>
      </w:tr>
      <w:tr w:rsidR="00BE6367" w14:paraId="072AEA7C"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19BE9B32"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Fecha Registro:</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40549026"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2026-07-09 (17:34)</w:t>
            </w:r>
          </w:p>
        </w:tc>
      </w:tr>
    </w:tbl>
    <w:p w14:paraId="14724102" w14:textId="77777777" w:rsidR="00BE6367" w:rsidRDefault="00BE6367">
      <w:pPr>
        <w:jc w:val="both"/>
        <w:rPr>
          <w:rFonts w:ascii="Arial" w:eastAsia="Arial" w:hAnsi="Arial" w:cs="Arial"/>
          <w:b/>
          <w:bCs/>
          <w:sz w:val="20"/>
          <w:szCs w:val="20"/>
        </w:rPr>
      </w:pPr>
    </w:p>
    <w:p w14:paraId="7E34B8C6"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Documento de Condiciones Especiales (DCE)</w:t>
      </w:r>
    </w:p>
    <w:p w14:paraId="47A175F8" w14:textId="77777777" w:rsidR="00BE6367" w:rsidRDefault="00BE6367">
      <w:pPr>
        <w:jc w:val="both"/>
        <w:rPr>
          <w:rFonts w:ascii="Arial" w:eastAsia="Arial" w:hAnsi="Arial" w:cs="Arial"/>
          <w:sz w:val="20"/>
          <w:szCs w:val="20"/>
        </w:rPr>
      </w:pPr>
    </w:p>
    <w:p w14:paraId="1837969E"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2799F7FA"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58CAFDB9"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7E747C1E" w14:textId="77777777" w:rsidR="00BE6367" w:rsidRDefault="00BE6367">
      <w:pPr>
        <w:jc w:val="both"/>
        <w:rPr>
          <w:rFonts w:ascii="Arial" w:eastAsia="Arial" w:hAnsi="Arial" w:cs="Arial"/>
          <w:sz w:val="20"/>
          <w:szCs w:val="20"/>
        </w:rPr>
      </w:pPr>
    </w:p>
    <w:p w14:paraId="55CA89E7" w14:textId="77777777" w:rsidR="00BE6367" w:rsidRDefault="00BE6367">
      <w:pPr>
        <w:jc w:val="both"/>
        <w:rPr>
          <w:rFonts w:ascii="Arial" w:eastAsia="Arial" w:hAnsi="Arial" w:cs="Arial"/>
          <w:sz w:val="20"/>
          <w:szCs w:val="20"/>
        </w:rPr>
      </w:pPr>
    </w:p>
    <w:p w14:paraId="56193843"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 xml:space="preserve">Documento(s) Adjunto(s): </w:t>
      </w:r>
    </w:p>
    <w:p w14:paraId="209037E9" w14:textId="77777777" w:rsidR="00BE6367" w:rsidRDefault="00BE6367">
      <w:pPr>
        <w:jc w:val="both"/>
        <w:rPr>
          <w:rFonts w:ascii="Arial" w:eastAsia="Arial" w:hAnsi="Arial" w:cs="Arial"/>
          <w:sz w:val="20"/>
          <w:szCs w:val="20"/>
        </w:rPr>
      </w:pPr>
    </w:p>
    <w:p w14:paraId="57BDA9C1" w14:textId="77777777" w:rsidR="00BE6367" w:rsidRDefault="00BE6367">
      <w:pPr>
        <w:jc w:val="both"/>
        <w:rPr>
          <w:rFonts w:ascii="Arial" w:eastAsia="Arial" w:hAnsi="Arial" w:cs="Arial"/>
          <w:sz w:val="20"/>
          <w:szCs w:val="20"/>
        </w:rPr>
      </w:pPr>
    </w:p>
    <w:p w14:paraId="22262F3A" w14:textId="77777777" w:rsidR="00BE6367" w:rsidRDefault="00BE6367">
      <w:pPr>
        <w:jc w:val="both"/>
        <w:rPr>
          <w:rFonts w:ascii="Arial" w:eastAsia="Arial" w:hAnsi="Arial" w:cs="Arial"/>
          <w:sz w:val="20"/>
          <w:szCs w:val="20"/>
        </w:rPr>
      </w:pPr>
    </w:p>
    <w:p w14:paraId="2DEE7CF1"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Ficha Técnica de Negociación</w:t>
      </w:r>
    </w:p>
    <w:p w14:paraId="313BFE39" w14:textId="77777777" w:rsidR="00BE6367" w:rsidRDefault="00BE6367">
      <w:pPr>
        <w:jc w:val="both"/>
        <w:rPr>
          <w:rFonts w:ascii="Arial" w:eastAsia="Arial" w:hAnsi="Arial" w:cs="Arial"/>
          <w:sz w:val="20"/>
          <w:szCs w:val="20"/>
        </w:rPr>
      </w:pPr>
    </w:p>
    <w:p w14:paraId="65948DEC" w14:textId="77777777" w:rsidR="00BE6367" w:rsidRDefault="00BE6367">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p>
    <w:p w14:paraId="0F157FF0" w14:textId="77777777" w:rsidR="00BE6367" w:rsidRDefault="00C90F6A">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r>
        <w:rPr>
          <w:rFonts w:ascii="Arial" w:eastAsia="Arial" w:hAnsi="Arial" w:cs="Arial"/>
          <w:sz w:val="20"/>
          <w:szCs w:val="20"/>
        </w:rPr>
        <w:t>ver adjunto</w:t>
      </w:r>
    </w:p>
    <w:p w14:paraId="46D9CE90" w14:textId="77777777" w:rsidR="00BE6367" w:rsidRDefault="00BE6367">
      <w:pPr>
        <w:jc w:val="both"/>
        <w:rPr>
          <w:rFonts w:ascii="Arial" w:eastAsia="Arial" w:hAnsi="Arial" w:cs="Arial"/>
          <w:sz w:val="20"/>
          <w:szCs w:val="20"/>
        </w:rPr>
      </w:pPr>
    </w:p>
    <w:p w14:paraId="2CD642E1" w14:textId="77777777" w:rsidR="00BE6367" w:rsidRDefault="00BE6367">
      <w:pPr>
        <w:jc w:val="both"/>
        <w:rPr>
          <w:rFonts w:ascii="Arial" w:eastAsia="Arial" w:hAnsi="Arial" w:cs="Arial"/>
          <w:sz w:val="20"/>
          <w:szCs w:val="20"/>
        </w:rPr>
      </w:pPr>
    </w:p>
    <w:p w14:paraId="32D0800A"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Documento(s) Adjunto(s): Sí</w:t>
      </w:r>
    </w:p>
    <w:p w14:paraId="03CCD25C" w14:textId="77777777" w:rsidR="00BE6367" w:rsidRDefault="00BE6367">
      <w:pPr>
        <w:jc w:val="both"/>
        <w:rPr>
          <w:rFonts w:ascii="Arial" w:eastAsia="Arial" w:hAnsi="Arial" w:cs="Arial"/>
          <w:sz w:val="20"/>
          <w:szCs w:val="20"/>
        </w:rPr>
      </w:pPr>
    </w:p>
    <w:p w14:paraId="63AEB4EA" w14:textId="77777777" w:rsidR="00BE6367" w:rsidRDefault="00C90F6A">
      <w:pPr>
        <w:jc w:val="both"/>
        <w:rPr>
          <w:rFonts w:ascii="Arial" w:eastAsia="Arial" w:hAnsi="Arial" w:cs="Arial"/>
          <w:sz w:val="20"/>
          <w:szCs w:val="20"/>
        </w:rPr>
      </w:pPr>
      <w:r>
        <w:rPr>
          <w:rFonts w:ascii="Arial" w:eastAsia="Arial" w:hAnsi="Arial" w:cs="Arial"/>
          <w:sz w:val="20"/>
          <w:szCs w:val="20"/>
        </w:rPr>
        <w:t>Luego de un análisis minucioso de los requisitos, hemos identificado algunos puntos que, de ser ajustados, permitirían una </w:t>
      </w:r>
      <w:r>
        <w:rPr>
          <w:rFonts w:ascii="Arial" w:eastAsia="Arial" w:hAnsi="Arial" w:cs="Arial"/>
          <w:b/>
          <w:bCs/>
          <w:sz w:val="20"/>
          <w:szCs w:val="20"/>
        </w:rPr>
        <w:t>interpretación más clara</w:t>
      </w:r>
      <w:r>
        <w:rPr>
          <w:rFonts w:ascii="Arial" w:eastAsia="Arial" w:hAnsi="Arial" w:cs="Arial"/>
          <w:sz w:val="20"/>
          <w:szCs w:val="20"/>
        </w:rPr>
        <w:t>, garantizarían la </w:t>
      </w:r>
      <w:r>
        <w:rPr>
          <w:rFonts w:ascii="Arial" w:eastAsia="Arial" w:hAnsi="Arial" w:cs="Arial"/>
          <w:b/>
          <w:bCs/>
          <w:sz w:val="20"/>
          <w:szCs w:val="20"/>
        </w:rPr>
        <w:t>pluralidad de oferentes</w:t>
      </w:r>
      <w:r>
        <w:rPr>
          <w:rFonts w:ascii="Arial" w:eastAsia="Arial" w:hAnsi="Arial" w:cs="Arial"/>
          <w:sz w:val="20"/>
          <w:szCs w:val="20"/>
        </w:rPr>
        <w:t> y favorecerían la </w:t>
      </w:r>
      <w:r>
        <w:rPr>
          <w:rFonts w:ascii="Arial" w:eastAsia="Arial" w:hAnsi="Arial" w:cs="Arial"/>
          <w:b/>
          <w:bCs/>
          <w:sz w:val="20"/>
          <w:szCs w:val="20"/>
        </w:rPr>
        <w:t>concurrencia</w:t>
      </w:r>
      <w:r>
        <w:rPr>
          <w:rFonts w:ascii="Arial" w:eastAsia="Arial" w:hAnsi="Arial" w:cs="Arial"/>
          <w:sz w:val="20"/>
          <w:szCs w:val="20"/>
        </w:rPr>
        <w:t> de soluciones tecnológicas actualmente disponibles en el mercado, sin que ello implique un menoscabo en la calidad, el rendimiento o la funcionalidad de los equipos requeridos por la Entidad.</w:t>
      </w:r>
    </w:p>
    <w:p w14:paraId="405F5644" w14:textId="77777777" w:rsidR="00BE6367" w:rsidRDefault="00C90F6A">
      <w:pPr>
        <w:jc w:val="both"/>
        <w:rPr>
          <w:rFonts w:ascii="Arial" w:eastAsia="Arial" w:hAnsi="Arial" w:cs="Arial"/>
          <w:sz w:val="20"/>
          <w:szCs w:val="20"/>
        </w:rPr>
      </w:pPr>
      <w:r>
        <w:rPr>
          <w:rFonts w:ascii="Arial" w:eastAsia="Arial" w:hAnsi="Arial" w:cs="Arial"/>
          <w:sz w:val="20"/>
          <w:szCs w:val="20"/>
        </w:rPr>
        <w:t>En ese sentido, nos permitimos formular las siguientes observaciones, las cuales sometemos a la valiosa consideración del Comité Comprador:</w:t>
      </w:r>
    </w:p>
    <w:p w14:paraId="247D3FB4" w14:textId="77777777" w:rsidR="00BE6367" w:rsidRDefault="00BE6367">
      <w:pPr>
        <w:jc w:val="both"/>
        <w:rPr>
          <w:rFonts w:ascii="Arial" w:eastAsia="Arial" w:hAnsi="Arial" w:cs="Arial"/>
          <w:sz w:val="20"/>
          <w:szCs w:val="20"/>
        </w:rPr>
      </w:pPr>
    </w:p>
    <w:p w14:paraId="74019D6D"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1. Fuente de poder – Certificación energética</w:t>
      </w:r>
    </w:p>
    <w:p w14:paraId="7D0151E9" w14:textId="77777777" w:rsidR="00BE6367" w:rsidRDefault="00C90F6A">
      <w:pPr>
        <w:jc w:val="both"/>
        <w:rPr>
          <w:rFonts w:ascii="Arial" w:eastAsia="Arial" w:hAnsi="Arial" w:cs="Arial"/>
          <w:sz w:val="20"/>
          <w:szCs w:val="20"/>
        </w:rPr>
      </w:pPr>
      <w:r>
        <w:rPr>
          <w:rFonts w:ascii="Arial" w:eastAsia="Arial" w:hAnsi="Arial" w:cs="Arial"/>
          <w:sz w:val="20"/>
          <w:szCs w:val="20"/>
        </w:rPr>
        <w:t>Se propone reconsiderar la certificación exigida para la fuente de poder interna, estableciendo como mínimo la norma </w:t>
      </w:r>
      <w:r>
        <w:rPr>
          <w:rFonts w:ascii="Arial" w:eastAsia="Arial" w:hAnsi="Arial" w:cs="Arial"/>
          <w:b/>
          <w:bCs/>
          <w:sz w:val="20"/>
          <w:szCs w:val="20"/>
        </w:rPr>
        <w:t>80 PLUS Gold</w:t>
      </w:r>
      <w:r>
        <w:rPr>
          <w:rFonts w:ascii="Arial" w:eastAsia="Arial" w:hAnsi="Arial" w:cs="Arial"/>
          <w:sz w:val="20"/>
          <w:szCs w:val="20"/>
        </w:rPr>
        <w:t>, sin modificar la potencia requerida de 240 W.</w:t>
      </w:r>
      <w:r>
        <w:rPr>
          <w:rFonts w:ascii="Arial" w:eastAsia="Arial" w:hAnsi="Arial" w:cs="Arial"/>
          <w:sz w:val="20"/>
          <w:szCs w:val="20"/>
        </w:rPr>
        <w:br/>
        <w:t>Dicha certificación garantiza una eficiencia energética sobresaliente y una fiabilidad contrastada, adecuada para las necesidades operativas del equipo. Este ajuste permitiría incorporar un mayor número de alternativas comerciales sin sacrificar la calidad ni el desempeño previsto.</w:t>
      </w:r>
    </w:p>
    <w:p w14:paraId="36B04677" w14:textId="77777777" w:rsidR="00BE6367" w:rsidRDefault="00C90F6A">
      <w:pPr>
        <w:jc w:val="both"/>
        <w:rPr>
          <w:rFonts w:ascii="Arial" w:eastAsia="Arial" w:hAnsi="Arial" w:cs="Arial"/>
          <w:sz w:val="20"/>
          <w:szCs w:val="20"/>
        </w:rPr>
      </w:pPr>
      <w:r>
        <w:rPr>
          <w:rFonts w:ascii="Arial" w:eastAsia="Arial" w:hAnsi="Arial" w:cs="Arial"/>
          <w:b/>
          <w:bCs/>
          <w:sz w:val="20"/>
          <w:szCs w:val="20"/>
        </w:rPr>
        <w:lastRenderedPageBreak/>
        <w:t>RESPUESTA A OBSERVACIÓN</w:t>
      </w:r>
      <w:r>
        <w:rPr>
          <w:rFonts w:ascii="Arial" w:eastAsia="Arial" w:hAnsi="Arial" w:cs="Arial"/>
          <w:sz w:val="20"/>
          <w:szCs w:val="20"/>
        </w:rPr>
        <w:t xml:space="preserve">: </w:t>
      </w:r>
    </w:p>
    <w:p w14:paraId="238C0F96"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No se acepta la observación, en virtud de que el requerimiento actual establece una potencia mínima de </w:t>
      </w:r>
      <w:r>
        <w:rPr>
          <w:rFonts w:ascii="Arial" w:eastAsia="Arial" w:hAnsi="Arial" w:cs="Arial"/>
          <w:b/>
          <w:bCs/>
          <w:sz w:val="20"/>
          <w:szCs w:val="20"/>
        </w:rPr>
        <w:t>240 W</w:t>
      </w:r>
      <w:r>
        <w:rPr>
          <w:rFonts w:ascii="Arial" w:eastAsia="Arial" w:hAnsi="Arial" w:cs="Arial"/>
          <w:sz w:val="20"/>
          <w:szCs w:val="20"/>
        </w:rPr>
        <w:t xml:space="preserve"> con certificación </w:t>
      </w:r>
      <w:r>
        <w:rPr>
          <w:rFonts w:ascii="Arial" w:eastAsia="Arial" w:hAnsi="Arial" w:cs="Arial"/>
          <w:b/>
          <w:bCs/>
          <w:sz w:val="20"/>
          <w:szCs w:val="20"/>
        </w:rPr>
        <w:t>80 PLUS Platinum</w:t>
      </w:r>
      <w:r>
        <w:rPr>
          <w:rFonts w:ascii="Arial" w:eastAsia="Arial" w:hAnsi="Arial" w:cs="Arial"/>
          <w:sz w:val="20"/>
          <w:szCs w:val="20"/>
        </w:rPr>
        <w:t>, lo cual garantiza niveles superiores de eficiencia energética y desempeño. Esta especificación cumple con los parámetros de consumo y uso definidos por la Entidad, asegurando la fiabilidad y calidad necesarias para las operaciones previstas, por lo que no se considera pertinente modificar la exigencia establecida.</w:t>
      </w:r>
    </w:p>
    <w:p w14:paraId="4F3EA47D"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2. Puntaje PCMark 10 – Momento de acreditación</w:t>
      </w:r>
    </w:p>
    <w:p w14:paraId="313935B0" w14:textId="77777777" w:rsidR="00BE6367" w:rsidRDefault="00C90F6A">
      <w:pPr>
        <w:jc w:val="both"/>
        <w:rPr>
          <w:rFonts w:ascii="Arial" w:eastAsia="Arial" w:hAnsi="Arial" w:cs="Arial"/>
          <w:sz w:val="20"/>
          <w:szCs w:val="20"/>
        </w:rPr>
      </w:pPr>
      <w:r>
        <w:rPr>
          <w:rFonts w:ascii="Arial" w:eastAsia="Arial" w:hAnsi="Arial" w:cs="Arial"/>
          <w:sz w:val="20"/>
          <w:szCs w:val="20"/>
        </w:rPr>
        <w:t>Se requiere precisar si la verificación del puntaje mínimo de </w:t>
      </w:r>
      <w:r>
        <w:rPr>
          <w:rFonts w:ascii="Arial" w:eastAsia="Arial" w:hAnsi="Arial" w:cs="Arial"/>
          <w:b/>
          <w:bCs/>
          <w:sz w:val="20"/>
          <w:szCs w:val="20"/>
        </w:rPr>
        <w:t>6.200 en PCMark 10</w:t>
      </w:r>
      <w:r>
        <w:rPr>
          <w:rFonts w:ascii="Arial" w:eastAsia="Arial" w:hAnsi="Arial" w:cs="Arial"/>
          <w:sz w:val="20"/>
          <w:szCs w:val="20"/>
        </w:rPr>
        <w:t> debe realizarse durante la presentación de la propuesta o, por el contrario, podrá ser exigida al contratista seleccionado con posterioridad, previa entrega de los equipos.</w:t>
      </w:r>
      <w:r>
        <w:rPr>
          <w:rFonts w:ascii="Arial" w:eastAsia="Arial" w:hAnsi="Arial" w:cs="Arial"/>
          <w:sz w:val="20"/>
          <w:szCs w:val="20"/>
        </w:rPr>
        <w:br/>
        <w:t>Dado que en fase de oferta no se dispone de las máquinas definitivas, resulta más razonable y objetivo que dicha comprobación se efectúe sobre los equipos realmente suministrados, garantizando así el cumplimiento efectivo de la especificación.</w:t>
      </w:r>
    </w:p>
    <w:p w14:paraId="7ACD7873"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3792D9FA" w14:textId="77777777" w:rsidR="00BE6367" w:rsidRDefault="00C90F6A">
      <w:pPr>
        <w:jc w:val="both"/>
        <w:rPr>
          <w:rFonts w:ascii="Arial" w:eastAsia="Arial" w:hAnsi="Arial" w:cs="Arial"/>
          <w:b/>
          <w:bCs/>
          <w:sz w:val="20"/>
          <w:szCs w:val="20"/>
        </w:rPr>
      </w:pPr>
      <w:r>
        <w:rPr>
          <w:rFonts w:ascii="Arial" w:eastAsia="Arial" w:hAnsi="Arial" w:cs="Arial"/>
          <w:sz w:val="20"/>
          <w:szCs w:val="20"/>
        </w:rPr>
        <w:t>Se aclara que la verificación del requisito de rendimiento PCMark 10 – puntaje mínimo de 6.200 se realizará en el momento de la entrega de los equipos, mediante la certificación de aval técnico emitida por el fabricante o comitente vendedor. De esta manera se garantiza que la validación se efectúe sobre los equipos efectivamente suministrados, asegurando el cumplimiento de la especificación técnica establecida en los documentos del proceso.</w:t>
      </w:r>
    </w:p>
    <w:p w14:paraId="17C10B96"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3. Puertos de video en Workstation – Redacción unívoca</w:t>
      </w:r>
    </w:p>
    <w:p w14:paraId="63E64312" w14:textId="77777777" w:rsidR="00BE6367" w:rsidRDefault="00C90F6A">
      <w:pPr>
        <w:jc w:val="both"/>
        <w:rPr>
          <w:rFonts w:ascii="Arial" w:eastAsia="Arial" w:hAnsi="Arial" w:cs="Arial"/>
          <w:sz w:val="20"/>
          <w:szCs w:val="20"/>
        </w:rPr>
      </w:pPr>
      <w:r>
        <w:rPr>
          <w:rFonts w:ascii="Arial" w:eastAsia="Arial" w:hAnsi="Arial" w:cs="Arial"/>
          <w:sz w:val="20"/>
          <w:szCs w:val="20"/>
        </w:rPr>
        <w:t>Se observa que la redacción actual de los puertos de video podría interpretarse como la exigencia simultánea de </w:t>
      </w:r>
      <w:r>
        <w:rPr>
          <w:rFonts w:ascii="Arial" w:eastAsia="Arial" w:hAnsi="Arial" w:cs="Arial"/>
          <w:b/>
          <w:bCs/>
          <w:sz w:val="20"/>
          <w:szCs w:val="20"/>
        </w:rPr>
        <w:t>HDMI 2.1, DisplayPort 1.4 y USB-C con Display Alt Mode</w:t>
      </w:r>
      <w:r>
        <w:rPr>
          <w:rFonts w:ascii="Arial" w:eastAsia="Arial" w:hAnsi="Arial" w:cs="Arial"/>
          <w:sz w:val="20"/>
          <w:szCs w:val="20"/>
        </w:rPr>
        <w:t>, además de los tres puertos DisplayPort 1.4a requeridos para la tarjeta gráfica, lo que totalizaría hasta seis salidas de video.</w:t>
      </w:r>
      <w:r>
        <w:rPr>
          <w:rFonts w:ascii="Arial" w:eastAsia="Arial" w:hAnsi="Arial" w:cs="Arial"/>
          <w:sz w:val="20"/>
          <w:szCs w:val="20"/>
        </w:rPr>
        <w:br/>
        <w:t>Esta interpretación resulta desproporcionada, pues la tarjeta gráfica profesional ya satisface las necesidades de múltiples monitores de alta resolución. Por ello, se sugiere confirmar que la intención es ofrecer </w:t>
      </w:r>
      <w:r>
        <w:rPr>
          <w:rFonts w:ascii="Arial" w:eastAsia="Arial" w:hAnsi="Arial" w:cs="Arial"/>
          <w:b/>
          <w:bCs/>
          <w:sz w:val="20"/>
          <w:szCs w:val="20"/>
        </w:rPr>
        <w:t>una de estas interfaces</w:t>
      </w:r>
      <w:r>
        <w:rPr>
          <w:rFonts w:ascii="Arial" w:eastAsia="Arial" w:hAnsi="Arial" w:cs="Arial"/>
          <w:sz w:val="20"/>
          <w:szCs w:val="20"/>
        </w:rPr>
        <w:t> (HDMI </w:t>
      </w:r>
      <w:r>
        <w:rPr>
          <w:rFonts w:ascii="Arial" w:eastAsia="Arial" w:hAnsi="Arial" w:cs="Arial"/>
          <w:b/>
          <w:bCs/>
          <w:sz w:val="20"/>
          <w:szCs w:val="20"/>
        </w:rPr>
        <w:t>o</w:t>
      </w:r>
      <w:r>
        <w:rPr>
          <w:rFonts w:ascii="Arial" w:eastAsia="Arial" w:hAnsi="Arial" w:cs="Arial"/>
          <w:sz w:val="20"/>
          <w:szCs w:val="20"/>
        </w:rPr>
        <w:t> DisplayPort </w:t>
      </w:r>
      <w:r>
        <w:rPr>
          <w:rFonts w:ascii="Arial" w:eastAsia="Arial" w:hAnsi="Arial" w:cs="Arial"/>
          <w:b/>
          <w:bCs/>
          <w:sz w:val="20"/>
          <w:szCs w:val="20"/>
        </w:rPr>
        <w:t>o</w:t>
      </w:r>
      <w:r>
        <w:rPr>
          <w:rFonts w:ascii="Arial" w:eastAsia="Arial" w:hAnsi="Arial" w:cs="Arial"/>
          <w:sz w:val="20"/>
          <w:szCs w:val="20"/>
        </w:rPr>
        <w:t> USB-C).</w:t>
      </w:r>
    </w:p>
    <w:p w14:paraId="13A7F19E" w14:textId="77777777" w:rsidR="00BE6367" w:rsidRDefault="00BE6367">
      <w:pPr>
        <w:jc w:val="both"/>
        <w:rPr>
          <w:rFonts w:ascii="Arial" w:eastAsia="Arial" w:hAnsi="Arial" w:cs="Arial"/>
          <w:b/>
          <w:bCs/>
          <w:sz w:val="20"/>
          <w:szCs w:val="20"/>
        </w:rPr>
      </w:pPr>
    </w:p>
    <w:p w14:paraId="2CECF957" w14:textId="77777777" w:rsidR="00BE6367" w:rsidRDefault="00BE6367">
      <w:pPr>
        <w:jc w:val="both"/>
        <w:rPr>
          <w:rFonts w:ascii="Arial" w:eastAsia="Arial" w:hAnsi="Arial" w:cs="Arial"/>
          <w:b/>
          <w:bCs/>
          <w:sz w:val="20"/>
          <w:szCs w:val="20"/>
        </w:rPr>
      </w:pPr>
    </w:p>
    <w:p w14:paraId="1A264843"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49AEFB05" w14:textId="77777777" w:rsidR="00BE6367" w:rsidRDefault="00C90F6A">
      <w:pPr>
        <w:jc w:val="both"/>
        <w:rPr>
          <w:rFonts w:ascii="Arial" w:eastAsia="Arial" w:hAnsi="Arial" w:cs="Arial"/>
          <w:sz w:val="20"/>
          <w:szCs w:val="20"/>
        </w:rPr>
      </w:pPr>
      <w:r>
        <w:rPr>
          <w:rFonts w:ascii="Arial" w:eastAsia="Arial" w:hAnsi="Arial" w:cs="Arial"/>
          <w:sz w:val="20"/>
          <w:szCs w:val="20"/>
        </w:rPr>
        <w:t>Se acepta la observación, con la finalidad de evitar confusión por parte de los comitentes vendedores, se modificará el requerimiento de puertos de video para precisar que se exige al menos una de las siguientes interfaces de salida (</w:t>
      </w:r>
      <w:r>
        <w:rPr>
          <w:rFonts w:ascii="Arial" w:eastAsia="Arial" w:hAnsi="Arial" w:cs="Arial"/>
          <w:b/>
          <w:bCs/>
          <w:sz w:val="20"/>
          <w:szCs w:val="20"/>
        </w:rPr>
        <w:t>HDMI 2.1</w:t>
      </w:r>
      <w:r>
        <w:rPr>
          <w:rFonts w:ascii="Arial" w:eastAsia="Arial" w:hAnsi="Arial" w:cs="Arial"/>
          <w:sz w:val="20"/>
          <w:szCs w:val="20"/>
        </w:rPr>
        <w:t xml:space="preserve"> o </w:t>
      </w:r>
      <w:r>
        <w:rPr>
          <w:rFonts w:ascii="Arial" w:eastAsia="Arial" w:hAnsi="Arial" w:cs="Arial"/>
          <w:b/>
          <w:bCs/>
          <w:sz w:val="20"/>
          <w:szCs w:val="20"/>
        </w:rPr>
        <w:t>DisplayPort 1.4</w:t>
      </w:r>
      <w:r>
        <w:rPr>
          <w:rFonts w:ascii="Arial" w:eastAsia="Arial" w:hAnsi="Arial" w:cs="Arial"/>
          <w:sz w:val="20"/>
          <w:szCs w:val="20"/>
        </w:rPr>
        <w:t xml:space="preserve"> o </w:t>
      </w:r>
      <w:r>
        <w:rPr>
          <w:rFonts w:ascii="Arial" w:eastAsia="Arial" w:hAnsi="Arial" w:cs="Arial"/>
          <w:b/>
          <w:bCs/>
          <w:sz w:val="20"/>
          <w:szCs w:val="20"/>
        </w:rPr>
        <w:t>USB-C con Display Alt Mode</w:t>
      </w:r>
      <w:r>
        <w:rPr>
          <w:rFonts w:ascii="Arial" w:eastAsia="Arial" w:hAnsi="Arial" w:cs="Arial"/>
          <w:sz w:val="20"/>
          <w:szCs w:val="20"/>
        </w:rPr>
        <w:t>). Esta aclaración se establece considerando la necesidad de soportar distintos monitores que utilizan cables diferentes tipos de conexión, adicionales a los puertos ya establecidos en la tarjeta gráfica incorporada.</w:t>
      </w:r>
    </w:p>
    <w:p w14:paraId="58E0CFFF"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4. Recorrido de teclas en teclado – Aceptación de variantes</w:t>
      </w:r>
    </w:p>
    <w:p w14:paraId="43985A07" w14:textId="77777777" w:rsidR="00BE6367" w:rsidRDefault="00C90F6A">
      <w:pPr>
        <w:jc w:val="both"/>
        <w:rPr>
          <w:rFonts w:ascii="Arial" w:eastAsia="Arial" w:hAnsi="Arial" w:cs="Arial"/>
          <w:sz w:val="20"/>
          <w:szCs w:val="20"/>
        </w:rPr>
      </w:pPr>
      <w:r>
        <w:rPr>
          <w:rFonts w:ascii="Arial" w:eastAsia="Arial" w:hAnsi="Arial" w:cs="Arial"/>
          <w:sz w:val="20"/>
          <w:szCs w:val="20"/>
        </w:rPr>
        <w:t>Se plantea la posibilidad de admitir teclados con un </w:t>
      </w:r>
      <w:r>
        <w:rPr>
          <w:rFonts w:ascii="Arial" w:eastAsia="Arial" w:hAnsi="Arial" w:cs="Arial"/>
          <w:b/>
          <w:bCs/>
          <w:sz w:val="20"/>
          <w:szCs w:val="20"/>
        </w:rPr>
        <w:t>recorrido total de tecla inferior a 4.0 mm</w:t>
      </w:r>
      <w:r>
        <w:rPr>
          <w:rFonts w:ascii="Arial" w:eastAsia="Arial" w:hAnsi="Arial" w:cs="Arial"/>
          <w:sz w:val="20"/>
          <w:szCs w:val="20"/>
        </w:rPr>
        <w:t>, especialmente aquellos con switches mecánicos de bajo perfil, que ofrecen ventajas como activación más rápida, menor esfuerzo y mayor fluidez.</w:t>
      </w:r>
      <w:r>
        <w:rPr>
          <w:rFonts w:ascii="Arial" w:eastAsia="Arial" w:hAnsi="Arial" w:cs="Arial"/>
          <w:sz w:val="20"/>
          <w:szCs w:val="20"/>
        </w:rPr>
        <w:br/>
        <w:t>Se recomienda establecer un requisito de </w:t>
      </w:r>
      <w:r>
        <w:rPr>
          <w:rFonts w:ascii="Arial" w:eastAsia="Arial" w:hAnsi="Arial" w:cs="Arial"/>
          <w:b/>
          <w:bCs/>
          <w:sz w:val="20"/>
          <w:szCs w:val="20"/>
        </w:rPr>
        <w:t>"recorrido menor o igual a 4.0 mm"</w:t>
      </w:r>
      <w:r>
        <w:rPr>
          <w:rFonts w:ascii="Arial" w:eastAsia="Arial" w:hAnsi="Arial" w:cs="Arial"/>
          <w:sz w:val="20"/>
          <w:szCs w:val="20"/>
        </w:rPr>
        <w:t xml:space="preserve">, lo que </w:t>
      </w:r>
      <w:r>
        <w:rPr>
          <w:rFonts w:ascii="Arial" w:eastAsia="Arial" w:hAnsi="Arial" w:cs="Arial"/>
          <w:sz w:val="20"/>
          <w:szCs w:val="20"/>
        </w:rPr>
        <w:lastRenderedPageBreak/>
        <w:t>permitirá incorporar tecnologías actuales sin menoscabo de la funcionalidad, y ampliará la oferta disponible.</w:t>
      </w:r>
    </w:p>
    <w:p w14:paraId="46C2AA11"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35031AC1" w14:textId="77777777" w:rsidR="00BE6367" w:rsidRDefault="00C90F6A">
      <w:pPr>
        <w:jc w:val="both"/>
        <w:rPr>
          <w:rFonts w:ascii="Arial" w:eastAsia="Arial" w:hAnsi="Arial" w:cs="Arial"/>
          <w:sz w:val="20"/>
          <w:szCs w:val="20"/>
        </w:rPr>
      </w:pPr>
      <w:r>
        <w:rPr>
          <w:rFonts w:ascii="Arial" w:eastAsia="Arial" w:hAnsi="Arial" w:cs="Arial"/>
          <w:sz w:val="20"/>
          <w:szCs w:val="20"/>
        </w:rPr>
        <w:t>Se aclara que el requerimiento para el teclado establece un recorrido de tecla de máximo 4.0 mm, por lo cual se aceptan recorridos de menor distancia. Con el fin de que este requisito quede expresado de la mejor manera y facilite su comprensión, se modificará la redacción para precisar dicho límite como parámetro de máximo cumplimiento, indicando claramente que recorridos inferiores se admiten y cumplen con la especificación.</w:t>
      </w:r>
    </w:p>
    <w:p w14:paraId="53262A04"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5. Ángulos de inclinación del teclado – Ajuste ergonómico</w:t>
      </w:r>
    </w:p>
    <w:p w14:paraId="7A26B55D" w14:textId="77777777" w:rsidR="00BE6367" w:rsidRDefault="00C90F6A">
      <w:pPr>
        <w:jc w:val="both"/>
        <w:rPr>
          <w:rFonts w:ascii="Arial" w:eastAsia="Arial" w:hAnsi="Arial" w:cs="Arial"/>
          <w:sz w:val="20"/>
          <w:szCs w:val="20"/>
        </w:rPr>
      </w:pPr>
      <w:r>
        <w:rPr>
          <w:rFonts w:ascii="Arial" w:eastAsia="Arial" w:hAnsi="Arial" w:cs="Arial"/>
          <w:sz w:val="20"/>
          <w:szCs w:val="20"/>
        </w:rPr>
        <w:t>El requerimiento de </w:t>
      </w:r>
      <w:r>
        <w:rPr>
          <w:rFonts w:ascii="Arial" w:eastAsia="Arial" w:hAnsi="Arial" w:cs="Arial"/>
          <w:b/>
          <w:bCs/>
          <w:sz w:val="20"/>
          <w:szCs w:val="20"/>
        </w:rPr>
        <w:t>tres ángulos de inclinación mediante patas ajustables</w:t>
      </w:r>
      <w:r>
        <w:rPr>
          <w:rFonts w:ascii="Arial" w:eastAsia="Arial" w:hAnsi="Arial" w:cs="Arial"/>
          <w:sz w:val="20"/>
          <w:szCs w:val="20"/>
        </w:rPr>
        <w:t> limita la participación a modelos muy específicos, ya que la mayoría de los teclados mecánicos gaming ofrecen dos posiciones (plegadas o extendidas).</w:t>
      </w:r>
    </w:p>
    <w:p w14:paraId="3A08AFCA" w14:textId="77777777" w:rsidR="00BE6367" w:rsidRDefault="00C90F6A">
      <w:pPr>
        <w:jc w:val="both"/>
        <w:rPr>
          <w:rFonts w:ascii="Arial" w:eastAsia="Arial" w:hAnsi="Arial" w:cs="Arial"/>
          <w:sz w:val="20"/>
          <w:szCs w:val="20"/>
        </w:rPr>
      </w:pPr>
      <w:r>
        <w:rPr>
          <w:rFonts w:ascii="Arial" w:eastAsia="Arial" w:hAnsi="Arial" w:cs="Arial"/>
          <w:sz w:val="20"/>
          <w:szCs w:val="20"/>
        </w:rPr>
        <w:t>Se propone sustituir por </w:t>
      </w:r>
      <w:r>
        <w:rPr>
          <w:rFonts w:ascii="Arial" w:eastAsia="Arial" w:hAnsi="Arial" w:cs="Arial"/>
          <w:b/>
          <w:bCs/>
          <w:sz w:val="20"/>
          <w:szCs w:val="20"/>
        </w:rPr>
        <w:t>"patas ajustables que permitan mínimo dos posiciones de inclinación"</w:t>
      </w:r>
      <w:r>
        <w:rPr>
          <w:rFonts w:ascii="Arial" w:eastAsia="Arial" w:hAnsi="Arial" w:cs="Arial"/>
          <w:sz w:val="20"/>
          <w:szCs w:val="20"/>
        </w:rPr>
        <w:t>, manteniendo la ergonomía necesaria y favoreciendo la pluralidad de marcas.</w:t>
      </w:r>
    </w:p>
    <w:p w14:paraId="7A4CADB9"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6AB18E23"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Se acepta la observación y se modificará el requerimiento en la Ficha Técnica de Producto para ampliar la pluralidad de oferentes, teniendo en cuenta los estándares actuales. En lugar de exigir tres ángulos de inclinación mediante patas ajustables en 3 posiciones, se establecerá que el teclado deberá contar con patas ajustables que permitan </w:t>
      </w:r>
      <w:r>
        <w:rPr>
          <w:rFonts w:ascii="Arial" w:eastAsia="Arial" w:hAnsi="Arial" w:cs="Arial"/>
          <w:b/>
          <w:bCs/>
          <w:sz w:val="20"/>
          <w:szCs w:val="20"/>
        </w:rPr>
        <w:t>mínimo dos (2) posiciones de inclinación</w:t>
      </w:r>
      <w:r>
        <w:rPr>
          <w:rFonts w:ascii="Arial" w:eastAsia="Arial" w:hAnsi="Arial" w:cs="Arial"/>
          <w:sz w:val="20"/>
          <w:szCs w:val="20"/>
        </w:rPr>
        <w:t>. De esta manera se mantiene la ergonomía necesaria y se favorece la participación de un mayor número de marcas y modelos disponibles en el mercado.</w:t>
      </w:r>
    </w:p>
    <w:p w14:paraId="38A6BF57"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6. Lente de cámara – Especificación abierta</w:t>
      </w:r>
    </w:p>
    <w:p w14:paraId="70073249" w14:textId="77777777" w:rsidR="00BE6367" w:rsidRDefault="00C90F6A">
      <w:pPr>
        <w:jc w:val="both"/>
        <w:rPr>
          <w:rFonts w:ascii="Arial" w:eastAsia="Arial" w:hAnsi="Arial" w:cs="Arial"/>
          <w:sz w:val="20"/>
          <w:szCs w:val="20"/>
        </w:rPr>
      </w:pPr>
      <w:r>
        <w:rPr>
          <w:rFonts w:ascii="Arial" w:eastAsia="Arial" w:hAnsi="Arial" w:cs="Arial"/>
          <w:sz w:val="20"/>
          <w:szCs w:val="20"/>
        </w:rPr>
        <w:t>Se sugiere eliminar la exigencia de </w:t>
      </w:r>
      <w:r>
        <w:rPr>
          <w:rFonts w:ascii="Arial" w:eastAsia="Arial" w:hAnsi="Arial" w:cs="Arial"/>
          <w:b/>
          <w:bCs/>
          <w:sz w:val="20"/>
          <w:szCs w:val="20"/>
        </w:rPr>
        <w:t>"lente de cristal de alta precisión"</w:t>
      </w:r>
      <w:r>
        <w:rPr>
          <w:rFonts w:ascii="Arial" w:eastAsia="Arial" w:hAnsi="Arial" w:cs="Arial"/>
          <w:sz w:val="20"/>
          <w:szCs w:val="20"/>
        </w:rPr>
        <w:t>, dado que la calidad de imagen depende de múltiples factores (sensor, procesamiento, enfoque, etc.) y no únicamente del material del lente. Existen lentes de materiales alternativos con prestaciones equivalentes o superiores.</w:t>
      </w:r>
      <w:r>
        <w:rPr>
          <w:rFonts w:ascii="Arial" w:eastAsia="Arial" w:hAnsi="Arial" w:cs="Arial"/>
          <w:sz w:val="20"/>
          <w:szCs w:val="20"/>
        </w:rPr>
        <w:br/>
        <w:t>En su lugar, se recomienda requerir </w:t>
      </w:r>
      <w:r>
        <w:rPr>
          <w:rFonts w:ascii="Arial" w:eastAsia="Arial" w:hAnsi="Arial" w:cs="Arial"/>
          <w:b/>
          <w:bCs/>
          <w:sz w:val="20"/>
          <w:szCs w:val="20"/>
        </w:rPr>
        <w:t>"lente de alta precisión con autoenfoque (Autofocus)"</w:t>
      </w:r>
      <w:r>
        <w:rPr>
          <w:rFonts w:ascii="Arial" w:eastAsia="Arial" w:hAnsi="Arial" w:cs="Arial"/>
          <w:sz w:val="20"/>
          <w:szCs w:val="20"/>
        </w:rPr>
        <w:t>, lo que asegura el desempeño óptico sin direccionar la elección hacia una tecnología o marca concreta.</w:t>
      </w:r>
    </w:p>
    <w:p w14:paraId="5F2117DF"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139DC1DF"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Se acepta la observación y se modificará el requerimiento actual en la Ficha Técnica del Producto. En su lugar, se establecerá la exigencia de </w:t>
      </w:r>
      <w:r>
        <w:rPr>
          <w:rFonts w:ascii="Arial" w:eastAsia="Arial" w:hAnsi="Arial" w:cs="Arial"/>
          <w:b/>
          <w:bCs/>
          <w:sz w:val="20"/>
          <w:szCs w:val="20"/>
        </w:rPr>
        <w:t>“lente de alta precisión con autoenfoque (Autofocus) y corrección automática de luz mediante Inteligencia Artificial”</w:t>
      </w:r>
      <w:r>
        <w:rPr>
          <w:rFonts w:ascii="Arial" w:eastAsia="Arial" w:hAnsi="Arial" w:cs="Arial"/>
          <w:sz w:val="20"/>
          <w:szCs w:val="20"/>
        </w:rPr>
        <w:t>, aclarando que el material del lente no será un requisito establecido.</w:t>
      </w:r>
    </w:p>
    <w:p w14:paraId="26234528" w14:textId="77777777" w:rsidR="00BE6367" w:rsidRDefault="00C90F6A">
      <w:pPr>
        <w:jc w:val="both"/>
        <w:rPr>
          <w:rFonts w:ascii="Arial" w:eastAsia="Arial" w:hAnsi="Arial" w:cs="Arial"/>
          <w:sz w:val="20"/>
          <w:szCs w:val="20"/>
        </w:rPr>
      </w:pPr>
      <w:r>
        <w:rPr>
          <w:rFonts w:ascii="Arial" w:eastAsia="Arial" w:hAnsi="Arial" w:cs="Arial"/>
          <w:sz w:val="20"/>
          <w:szCs w:val="20"/>
        </w:rPr>
        <w:t>Este ajuste fomenta una mayor pluralidad de cumplimiento, permitiendo la participación de distintas marcas y tecnologías disponibles en el mercado, siempre garantizando el desempeño óptico requerido.</w:t>
      </w:r>
    </w:p>
    <w:p w14:paraId="3220CB66"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7. Motor neuronal y núcleos del procesador en tableta – Ajuste técnico</w:t>
      </w:r>
    </w:p>
    <w:p w14:paraId="2F27E6EA"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Se solicita aclarar el alcance del requisito sobre el motor neuronal (NPU) de 32 núcleos, ya que en la arquitectura actual de procesadores para tabletas no existen NPU con ese número de núcleos físicos. Los fabricantes combinan núcleos físicos con aceleradores neuronales para </w:t>
      </w:r>
      <w:r>
        <w:rPr>
          <w:rFonts w:ascii="Arial" w:eastAsia="Arial" w:hAnsi="Arial" w:cs="Arial"/>
          <w:sz w:val="20"/>
          <w:szCs w:val="20"/>
        </w:rPr>
        <w:lastRenderedPageBreak/>
        <w:t>lograr el rendimiento requerido.</w:t>
      </w:r>
      <w:r>
        <w:rPr>
          <w:rFonts w:ascii="Arial" w:eastAsia="Arial" w:hAnsi="Arial" w:cs="Arial"/>
          <w:sz w:val="20"/>
          <w:szCs w:val="20"/>
        </w:rPr>
        <w:br/>
        <w:t>Asimismo, la exigencia de 10 núcleos en la CPU restringe modelos comerciales con 9 núcleos que ofrecen prestaciones equivalentes con configuraciones de las demás características solicitadas.</w:t>
      </w:r>
    </w:p>
    <w:p w14:paraId="28D27733" w14:textId="77777777" w:rsidR="00BE6367" w:rsidRDefault="00C90F6A">
      <w:pPr>
        <w:jc w:val="both"/>
        <w:rPr>
          <w:rFonts w:ascii="Arial" w:eastAsia="Arial" w:hAnsi="Arial" w:cs="Arial"/>
          <w:sz w:val="20"/>
          <w:szCs w:val="20"/>
        </w:rPr>
      </w:pPr>
      <w:r>
        <w:rPr>
          <w:rFonts w:ascii="Arial" w:eastAsia="Arial" w:hAnsi="Arial" w:cs="Arial"/>
          <w:sz w:val="20"/>
          <w:szCs w:val="20"/>
        </w:rPr>
        <w:br/>
        <w:t>Se recomienda modificar la especificación a:</w:t>
      </w:r>
      <w:r>
        <w:rPr>
          <w:rFonts w:ascii="Arial" w:eastAsia="Arial" w:hAnsi="Arial" w:cs="Arial"/>
          <w:sz w:val="20"/>
          <w:szCs w:val="20"/>
        </w:rPr>
        <w:br/>
      </w:r>
      <w:r>
        <w:rPr>
          <w:rFonts w:ascii="Arial" w:eastAsia="Arial" w:hAnsi="Arial" w:cs="Arial"/>
          <w:b/>
          <w:bCs/>
          <w:sz w:val="20"/>
          <w:szCs w:val="20"/>
        </w:rPr>
        <w:t>"CPU de mínimo 9 núcleos, GPU integrada de mínimo 10 núcleos, e incluir acelerador y motor neuronal dedicado con mínimo 16 núcleos físicos (o capacidad equivalente mediante tecnologías de aceleración por hardware)".</w:t>
      </w:r>
      <w:r>
        <w:rPr>
          <w:rFonts w:ascii="Arial" w:eastAsia="Arial" w:hAnsi="Arial" w:cs="Arial"/>
          <w:sz w:val="20"/>
          <w:szCs w:val="20"/>
        </w:rPr>
        <w:br/>
        <w:t>Esta redacción armoniza la exigencia con la oferta real del mercado, sin perder capacidad de procesamiento de IA.</w:t>
      </w:r>
    </w:p>
    <w:p w14:paraId="2D33B15A"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33278AA9" w14:textId="77777777" w:rsidR="00BE6367" w:rsidRDefault="00C90F6A">
      <w:pPr>
        <w:jc w:val="both"/>
        <w:rPr>
          <w:rFonts w:ascii="Arial" w:eastAsia="Arial" w:hAnsi="Arial" w:cs="Arial"/>
          <w:sz w:val="20"/>
          <w:szCs w:val="20"/>
        </w:rPr>
      </w:pPr>
      <w:r>
        <w:rPr>
          <w:rFonts w:ascii="Arial" w:eastAsia="Arial" w:hAnsi="Arial" w:cs="Arial"/>
          <w:sz w:val="20"/>
          <w:szCs w:val="20"/>
        </w:rPr>
        <w:t>Se acepta parcialmente la observación, teniendo en cuenta la disponibilidad de este tipo de procesadores en el mercado y las características que pueden suplir las necesidades de los usuarios. El requerimiento quedará establecido de la siguiente manera: CPU de 9 núcleos mínimo, GPU integrada con 10 núcleos mínimo, motor neuronal dedicado con capacidad mínima de 16 núcleos o superior, fecha de lanzamiento posterior al segundo trimestre de 2025.</w:t>
      </w:r>
    </w:p>
    <w:p w14:paraId="0EFF3B62" w14:textId="77777777" w:rsidR="00BE6367" w:rsidRDefault="00BE6367">
      <w:pPr>
        <w:jc w:val="both"/>
        <w:rPr>
          <w:rFonts w:ascii="Arial" w:eastAsia="Arial" w:hAnsi="Arial" w:cs="Arial"/>
          <w:sz w:val="20"/>
          <w:szCs w:val="20"/>
        </w:rPr>
      </w:pPr>
    </w:p>
    <w:p w14:paraId="7095C4BD"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8. Certificación ENERGY STAR en monitores – Aceptación de estándares equivalentes</w:t>
      </w:r>
    </w:p>
    <w:p w14:paraId="3CA971F5" w14:textId="77777777" w:rsidR="00BE6367" w:rsidRDefault="00C90F6A">
      <w:pPr>
        <w:jc w:val="both"/>
        <w:rPr>
          <w:rFonts w:ascii="Arial" w:eastAsia="Arial" w:hAnsi="Arial" w:cs="Arial"/>
          <w:sz w:val="20"/>
          <w:szCs w:val="20"/>
        </w:rPr>
      </w:pPr>
      <w:r>
        <w:rPr>
          <w:rFonts w:ascii="Arial" w:eastAsia="Arial" w:hAnsi="Arial" w:cs="Arial"/>
          <w:sz w:val="20"/>
          <w:szCs w:val="20"/>
        </w:rPr>
        <w:t>Se consulta si se admitirán monitores con </w:t>
      </w:r>
      <w:r>
        <w:rPr>
          <w:rFonts w:ascii="Arial" w:eastAsia="Arial" w:hAnsi="Arial" w:cs="Arial"/>
          <w:b/>
          <w:bCs/>
          <w:sz w:val="20"/>
          <w:szCs w:val="20"/>
        </w:rPr>
        <w:t>certificaciones internacionales equivalentes</w:t>
      </w:r>
      <w:r>
        <w:rPr>
          <w:rFonts w:ascii="Arial" w:eastAsia="Arial" w:hAnsi="Arial" w:cs="Arial"/>
          <w:sz w:val="20"/>
          <w:szCs w:val="20"/>
        </w:rPr>
        <w:t> en eficiencia energética y sostenibilidad, dado que algunos fabricantes han migrado a otros sellos reconocidos.</w:t>
      </w:r>
      <w:r>
        <w:rPr>
          <w:rFonts w:ascii="Arial" w:eastAsia="Arial" w:hAnsi="Arial" w:cs="Arial"/>
          <w:sz w:val="20"/>
          <w:szCs w:val="20"/>
        </w:rPr>
        <w:br/>
        <w:t>Aceptar estas alternativas garantiza el mismo objetivo ambiental y técnico, al tiempo que se evita una restricción innecesaria.</w:t>
      </w:r>
    </w:p>
    <w:p w14:paraId="4B85A20A"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60A631E6"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Se informa al interesado que los requisitos técnicos exigibles corresponden a los establecidos en los documentos del proceso. En consecuencia, se permitirá la participación de monitores que cumplan con la totalidad de las especificaciones técnicas mínimas requeridas o que ofrecen condiciones superiores, incluidas las certificaciones técnicas aplicables que incorporen. </w:t>
      </w:r>
    </w:p>
    <w:p w14:paraId="62D51D58"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9. Distribución de puertos USB en computador AIO – Configuraciones equivalentes</w:t>
      </w:r>
    </w:p>
    <w:p w14:paraId="24D39C2D" w14:textId="77777777" w:rsidR="00BE6367" w:rsidRDefault="00C90F6A">
      <w:pPr>
        <w:jc w:val="both"/>
        <w:rPr>
          <w:rFonts w:ascii="Arial" w:eastAsia="Arial" w:hAnsi="Arial" w:cs="Arial"/>
          <w:sz w:val="20"/>
          <w:szCs w:val="20"/>
        </w:rPr>
      </w:pPr>
      <w:r>
        <w:rPr>
          <w:rFonts w:ascii="Arial" w:eastAsia="Arial" w:hAnsi="Arial" w:cs="Arial"/>
          <w:sz w:val="20"/>
          <w:szCs w:val="20"/>
        </w:rPr>
        <w:t>Se solicita precisar si se aceptarán configuraciones de puertos USB que, manteniendo el </w:t>
      </w:r>
      <w:r>
        <w:rPr>
          <w:rFonts w:ascii="Arial" w:eastAsia="Arial" w:hAnsi="Arial" w:cs="Arial"/>
          <w:b/>
          <w:bCs/>
          <w:sz w:val="20"/>
          <w:szCs w:val="20"/>
        </w:rPr>
        <w:t>número total de interfaces</w:t>
      </w:r>
      <w:r>
        <w:rPr>
          <w:rFonts w:ascii="Arial" w:eastAsia="Arial" w:hAnsi="Arial" w:cs="Arial"/>
          <w:sz w:val="20"/>
          <w:szCs w:val="20"/>
        </w:rPr>
        <w:t>, varíen en la proporción de USB-A y USB-C respecto a lo establecido.</w:t>
      </w:r>
      <w:r>
        <w:rPr>
          <w:rFonts w:ascii="Arial" w:eastAsia="Arial" w:hAnsi="Arial" w:cs="Arial"/>
          <w:sz w:val="20"/>
          <w:szCs w:val="20"/>
        </w:rPr>
        <w:br/>
        <w:t>Dado que los fabricantes implementan diseños diversos, permitir esta equivalencia facilita la participación sin afectar la conectividad operativa del equipo.</w:t>
      </w:r>
    </w:p>
    <w:p w14:paraId="651B30B4"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5F2858BC"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No se acepta la observación, dado que los requisitos técnicos establecidos constituyen los mínimos requeridos para garantizar el adecuado desempeño en las tareas corporativas de los usuarios. </w:t>
      </w:r>
    </w:p>
    <w:p w14:paraId="29E0FAFE" w14:textId="77777777" w:rsidR="00BE6367" w:rsidRDefault="00C90F6A">
      <w:pPr>
        <w:jc w:val="both"/>
        <w:rPr>
          <w:rFonts w:ascii="Arial" w:eastAsia="Arial" w:hAnsi="Arial" w:cs="Arial"/>
          <w:sz w:val="20"/>
          <w:szCs w:val="20"/>
        </w:rPr>
      </w:pPr>
      <w:r>
        <w:rPr>
          <w:rFonts w:ascii="Arial" w:eastAsia="Arial" w:hAnsi="Arial" w:cs="Arial"/>
          <w:sz w:val="20"/>
          <w:szCs w:val="20"/>
        </w:rPr>
        <w:t>Se permitirá la participación únicamente de equipos que cumplan con los requisitos mínimos establecidos o superiores solicitados en la Ficha Técnica de Producto del proceso.</w:t>
      </w:r>
    </w:p>
    <w:p w14:paraId="37099BD2" w14:textId="77777777" w:rsidR="00BE6367" w:rsidRDefault="00C90F6A">
      <w:pPr>
        <w:jc w:val="both"/>
        <w:rPr>
          <w:rFonts w:ascii="Arial" w:eastAsia="Arial" w:hAnsi="Arial" w:cs="Arial"/>
          <w:b/>
          <w:bCs/>
          <w:sz w:val="20"/>
          <w:szCs w:val="20"/>
        </w:rPr>
      </w:pPr>
      <w:r>
        <w:rPr>
          <w:rFonts w:ascii="Arial" w:eastAsia="Arial" w:hAnsi="Arial" w:cs="Arial"/>
          <w:b/>
          <w:bCs/>
          <w:sz w:val="20"/>
          <w:szCs w:val="20"/>
        </w:rPr>
        <w:lastRenderedPageBreak/>
        <w:t>10. Tarjeta gráfica en Workstation – Modelos de nueva generación</w:t>
      </w:r>
    </w:p>
    <w:p w14:paraId="06AB8DF3" w14:textId="77777777" w:rsidR="00BE6367" w:rsidRDefault="00C90F6A">
      <w:pPr>
        <w:jc w:val="both"/>
        <w:rPr>
          <w:rFonts w:ascii="Arial" w:eastAsia="Arial" w:hAnsi="Arial" w:cs="Arial"/>
          <w:sz w:val="20"/>
          <w:szCs w:val="20"/>
        </w:rPr>
      </w:pPr>
      <w:r>
        <w:rPr>
          <w:rFonts w:ascii="Arial" w:eastAsia="Arial" w:hAnsi="Arial" w:cs="Arial"/>
          <w:sz w:val="20"/>
          <w:szCs w:val="20"/>
        </w:rPr>
        <w:t>Se requiere aclarar si serán aceptadas tarjetas gráficas de </w:t>
      </w:r>
      <w:r>
        <w:rPr>
          <w:rFonts w:ascii="Arial" w:eastAsia="Arial" w:hAnsi="Arial" w:cs="Arial"/>
          <w:b/>
          <w:bCs/>
          <w:sz w:val="20"/>
          <w:szCs w:val="20"/>
        </w:rPr>
        <w:t>nueva generación</w:t>
      </w:r>
      <w:r>
        <w:rPr>
          <w:rFonts w:ascii="Arial" w:eastAsia="Arial" w:hAnsi="Arial" w:cs="Arial"/>
          <w:sz w:val="20"/>
          <w:szCs w:val="20"/>
        </w:rPr>
        <w:t> que, aunque tengan denominación o arquitectura distintas, ofrezcan un rendimiento igual o superior al modelo referenciado.</w:t>
      </w:r>
      <w:r>
        <w:rPr>
          <w:rFonts w:ascii="Arial" w:eastAsia="Arial" w:hAnsi="Arial" w:cs="Arial"/>
          <w:sz w:val="20"/>
          <w:szCs w:val="20"/>
        </w:rPr>
        <w:br/>
        <w:t>Esta precisión evita que la evolución tecnológica quede excluida y asegura que la evaluación se centre en el desempeño real, no en etiquetas comerciales.</w:t>
      </w:r>
    </w:p>
    <w:p w14:paraId="7E7161C4"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5EC088C6"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No se acepta la observación, dado que los requisitos técnicos establecidos constituyen los mínimos requeridos para garantizar el desempeño esperado en las tareas corporativas de los usuarios. </w:t>
      </w:r>
    </w:p>
    <w:p w14:paraId="1B4BF56A" w14:textId="77777777" w:rsidR="00BE6367" w:rsidRDefault="00C90F6A">
      <w:pPr>
        <w:jc w:val="both"/>
        <w:rPr>
          <w:rFonts w:ascii="Arial" w:eastAsia="Arial" w:hAnsi="Arial" w:cs="Arial"/>
          <w:sz w:val="20"/>
          <w:szCs w:val="20"/>
        </w:rPr>
      </w:pPr>
      <w:r>
        <w:rPr>
          <w:rFonts w:ascii="Arial" w:eastAsia="Arial" w:hAnsi="Arial" w:cs="Arial"/>
          <w:sz w:val="20"/>
          <w:szCs w:val="20"/>
        </w:rPr>
        <w:t>Se precisa que no se están estableciendo etiquetas comerciales, sino especificaciones mínimas obligatorias. En consecuencia, únicamente se aceptarán equipos que integren tarjetas gráficas que cumplan con las especificaciones mínimas establecidas o superiores.</w:t>
      </w:r>
    </w:p>
    <w:p w14:paraId="4C12A30C"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11. Centros de servicio autorizados – Flexibilidad en la acreditación</w:t>
      </w:r>
    </w:p>
    <w:p w14:paraId="0205DE67" w14:textId="77777777" w:rsidR="00BE6367" w:rsidRDefault="00C90F6A">
      <w:pPr>
        <w:jc w:val="both"/>
        <w:rPr>
          <w:rFonts w:ascii="Arial" w:eastAsia="Arial" w:hAnsi="Arial" w:cs="Arial"/>
          <w:sz w:val="20"/>
          <w:szCs w:val="20"/>
        </w:rPr>
      </w:pPr>
      <w:r>
        <w:rPr>
          <w:rFonts w:ascii="Arial" w:eastAsia="Arial" w:hAnsi="Arial" w:cs="Arial"/>
          <w:sz w:val="20"/>
          <w:szCs w:val="20"/>
        </w:rPr>
        <w:t>Se pide confirmar si la relación de centros de servicio puede acreditarse mediante </w:t>
      </w:r>
      <w:r>
        <w:rPr>
          <w:rFonts w:ascii="Arial" w:eastAsia="Arial" w:hAnsi="Arial" w:cs="Arial"/>
          <w:b/>
          <w:bCs/>
          <w:sz w:val="20"/>
          <w:szCs w:val="20"/>
        </w:rPr>
        <w:t>centros propios del fabricante, autorizados o aliados certificados por la marca</w:t>
      </w:r>
      <w:r>
        <w:rPr>
          <w:rFonts w:ascii="Arial" w:eastAsia="Arial" w:hAnsi="Arial" w:cs="Arial"/>
          <w:sz w:val="20"/>
          <w:szCs w:val="20"/>
        </w:rPr>
        <w:t>.</w:t>
      </w:r>
    </w:p>
    <w:p w14:paraId="3631BD22" w14:textId="77777777" w:rsidR="00BE6367" w:rsidRDefault="00C90F6A">
      <w:pPr>
        <w:jc w:val="both"/>
        <w:rPr>
          <w:rFonts w:ascii="Arial" w:eastAsia="Arial" w:hAnsi="Arial" w:cs="Arial"/>
          <w:sz w:val="20"/>
          <w:szCs w:val="20"/>
        </w:rPr>
      </w:pPr>
      <w:r>
        <w:rPr>
          <w:rFonts w:ascii="Arial" w:eastAsia="Arial" w:hAnsi="Arial" w:cs="Arial"/>
          <w:sz w:val="20"/>
          <w:szCs w:val="20"/>
        </w:rPr>
        <w:br/>
        <w:t>Dado que los fabricantes operan con distintos modelos de soporte, esta flexibilidad garantiza la cobertura de garantía sin restringir la participación, siempre que los centros estén oficialmente respaldados. Esto indicar si será solicitado al proponente o al contratista.</w:t>
      </w:r>
    </w:p>
    <w:p w14:paraId="2D317F2C"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5EE87FD8"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La acreditación de los centros de servicio podrá realizarse mediante la relación de centros propios del fabricante, centros autorizados o aliados certificados por la marca, siempre que cuenten con respaldo oficial y garanticen la cobertura de garantía exigida. </w:t>
      </w:r>
    </w:p>
    <w:p w14:paraId="187D588A" w14:textId="77777777" w:rsidR="00BE6367" w:rsidRDefault="00C90F6A">
      <w:pPr>
        <w:jc w:val="both"/>
        <w:rPr>
          <w:rFonts w:ascii="Arial" w:eastAsia="Arial" w:hAnsi="Arial" w:cs="Arial"/>
          <w:sz w:val="20"/>
          <w:szCs w:val="20"/>
        </w:rPr>
      </w:pPr>
      <w:r>
        <w:rPr>
          <w:rFonts w:ascii="Arial" w:eastAsia="Arial" w:hAnsi="Arial" w:cs="Arial"/>
          <w:sz w:val="20"/>
          <w:szCs w:val="20"/>
        </w:rPr>
        <w:t>Esta flexibilidad reconoce los distintos modelos de soporte que operan en el mercado y asegura la pluralidad de oferentes sin restringir la participación. La relación de centros deberá ser presentada indicando nombre, ubicación y acreditación correspondiente, de manera que la Entidad pueda verificar la cobertura y veracidad de la existencia de los mismos.</w:t>
      </w:r>
    </w:p>
    <w:p w14:paraId="1BBA5C29" w14:textId="77777777" w:rsidR="00BE6367" w:rsidRDefault="00C90F6A">
      <w:pPr>
        <w:jc w:val="both"/>
        <w:rPr>
          <w:rFonts w:ascii="Arial" w:eastAsia="Arial" w:hAnsi="Arial" w:cs="Arial"/>
          <w:sz w:val="20"/>
          <w:szCs w:val="20"/>
        </w:rPr>
      </w:pPr>
      <w:r>
        <w:rPr>
          <w:rFonts w:ascii="Arial" w:eastAsia="Arial" w:hAnsi="Arial" w:cs="Arial"/>
          <w:b/>
          <w:bCs/>
          <w:sz w:val="20"/>
          <w:szCs w:val="20"/>
        </w:rPr>
        <w:t>Conclusión:</w:t>
      </w:r>
    </w:p>
    <w:p w14:paraId="576E42F2" w14:textId="77777777" w:rsidR="00BE6367" w:rsidRDefault="00C90F6A">
      <w:pPr>
        <w:jc w:val="both"/>
        <w:rPr>
          <w:rFonts w:ascii="Arial" w:eastAsia="Arial" w:hAnsi="Arial" w:cs="Arial"/>
          <w:sz w:val="20"/>
          <w:szCs w:val="20"/>
        </w:rPr>
      </w:pPr>
      <w:r>
        <w:rPr>
          <w:rFonts w:ascii="Arial" w:eastAsia="Arial" w:hAnsi="Arial" w:cs="Arial"/>
          <w:sz w:val="20"/>
          <w:szCs w:val="20"/>
        </w:rPr>
        <w:t>En espera de que las anteriores observaciones sean acogidas favorablemente por parte del Comité Comprador, agradecemos de antemano la atención prestada y reiteramos nuestra plena disposición para absolver cualquier inquietud o suministrar la información adicional que se estime pertinente.</w:t>
      </w:r>
    </w:p>
    <w:p w14:paraId="3C0B24A4" w14:textId="77777777" w:rsidR="00BE6367" w:rsidRDefault="00BE6367">
      <w:pPr>
        <w:jc w:val="both"/>
        <w:rPr>
          <w:rFonts w:ascii="Arial" w:eastAsia="Arial" w:hAnsi="Arial" w:cs="Arial"/>
          <w:sz w:val="20"/>
          <w:szCs w:val="20"/>
        </w:rPr>
      </w:pPr>
    </w:p>
    <w:tbl>
      <w:tblPr>
        <w:tblStyle w:val="aa"/>
        <w:tblW w:w="8353" w:type="dxa"/>
        <w:tblInd w:w="0"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1570"/>
        <w:gridCol w:w="6783"/>
      </w:tblGrid>
      <w:tr w:rsidR="00BE6367" w14:paraId="044C5D40"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1289828B"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Sociedad C. B.:</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4061D59A"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GEOCAPITAL S.A.</w:t>
            </w:r>
          </w:p>
        </w:tc>
      </w:tr>
      <w:tr w:rsidR="00BE6367" w14:paraId="616B44A9"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00A20DBC"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Fecha Registro:</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63F5A296"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2026-07-10 (10:09)</w:t>
            </w:r>
          </w:p>
        </w:tc>
      </w:tr>
    </w:tbl>
    <w:p w14:paraId="6B35E979" w14:textId="77777777" w:rsidR="00BE6367" w:rsidRDefault="00BE6367">
      <w:pPr>
        <w:jc w:val="both"/>
        <w:rPr>
          <w:rFonts w:ascii="Arial" w:eastAsia="Arial" w:hAnsi="Arial" w:cs="Arial"/>
          <w:b/>
          <w:bCs/>
          <w:sz w:val="20"/>
          <w:szCs w:val="20"/>
        </w:rPr>
      </w:pPr>
    </w:p>
    <w:p w14:paraId="0E4ABE3F"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lastRenderedPageBreak/>
        <w:t>Documento de Condiciones Especiales (DCE)</w:t>
      </w:r>
    </w:p>
    <w:p w14:paraId="647130F4" w14:textId="77777777" w:rsidR="00BE6367" w:rsidRDefault="00BE6367">
      <w:pPr>
        <w:jc w:val="both"/>
        <w:rPr>
          <w:rFonts w:ascii="Arial" w:eastAsia="Arial" w:hAnsi="Arial" w:cs="Arial"/>
          <w:sz w:val="20"/>
          <w:szCs w:val="20"/>
        </w:rPr>
      </w:pPr>
    </w:p>
    <w:p w14:paraId="656FF813"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138CDF46" w14:textId="77777777" w:rsidR="00BE6367" w:rsidRDefault="00C90F6A">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r>
        <w:rPr>
          <w:rFonts w:ascii="Arial" w:eastAsia="Arial" w:hAnsi="Arial" w:cs="Arial"/>
          <w:sz w:val="20"/>
          <w:szCs w:val="20"/>
        </w:rPr>
        <w:t>.</w:t>
      </w:r>
    </w:p>
    <w:p w14:paraId="1E5E4943"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222D5819" w14:textId="77777777" w:rsidR="00BE6367" w:rsidRDefault="00BE6367">
      <w:pPr>
        <w:jc w:val="both"/>
        <w:rPr>
          <w:rFonts w:ascii="Arial" w:eastAsia="Arial" w:hAnsi="Arial" w:cs="Arial"/>
          <w:sz w:val="20"/>
          <w:szCs w:val="20"/>
        </w:rPr>
      </w:pPr>
    </w:p>
    <w:p w14:paraId="409978DF" w14:textId="77777777" w:rsidR="00BE6367" w:rsidRDefault="00BE6367">
      <w:pPr>
        <w:jc w:val="both"/>
        <w:rPr>
          <w:rFonts w:ascii="Arial" w:eastAsia="Arial" w:hAnsi="Arial" w:cs="Arial"/>
          <w:sz w:val="20"/>
          <w:szCs w:val="20"/>
        </w:rPr>
      </w:pPr>
    </w:p>
    <w:p w14:paraId="5ABEC8EB"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 xml:space="preserve">Documento(s) Adjunto(s): </w:t>
      </w:r>
    </w:p>
    <w:p w14:paraId="642ECB44" w14:textId="77777777" w:rsidR="00BE6367" w:rsidRDefault="00BE6367">
      <w:pPr>
        <w:jc w:val="both"/>
        <w:rPr>
          <w:rFonts w:ascii="Arial" w:eastAsia="Arial" w:hAnsi="Arial" w:cs="Arial"/>
          <w:sz w:val="20"/>
          <w:szCs w:val="20"/>
        </w:rPr>
      </w:pPr>
    </w:p>
    <w:p w14:paraId="7238DF1E" w14:textId="77777777" w:rsidR="00BE6367" w:rsidRDefault="00BE6367">
      <w:pPr>
        <w:jc w:val="both"/>
        <w:rPr>
          <w:rFonts w:ascii="Arial" w:eastAsia="Arial" w:hAnsi="Arial" w:cs="Arial"/>
          <w:sz w:val="20"/>
          <w:szCs w:val="20"/>
        </w:rPr>
      </w:pPr>
    </w:p>
    <w:p w14:paraId="0AD485ED" w14:textId="77777777" w:rsidR="00BE6367" w:rsidRDefault="00BE6367">
      <w:pPr>
        <w:jc w:val="both"/>
        <w:rPr>
          <w:rFonts w:ascii="Arial" w:eastAsia="Arial" w:hAnsi="Arial" w:cs="Arial"/>
          <w:sz w:val="20"/>
          <w:szCs w:val="20"/>
        </w:rPr>
      </w:pPr>
    </w:p>
    <w:p w14:paraId="16228AAD"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Ficha Técnica de Negociación</w:t>
      </w:r>
    </w:p>
    <w:p w14:paraId="462EBD74" w14:textId="77777777" w:rsidR="00BE6367" w:rsidRDefault="00BE6367">
      <w:pPr>
        <w:jc w:val="both"/>
        <w:rPr>
          <w:rFonts w:ascii="Arial" w:eastAsia="Arial" w:hAnsi="Arial" w:cs="Arial"/>
          <w:sz w:val="20"/>
          <w:szCs w:val="20"/>
        </w:rPr>
      </w:pPr>
    </w:p>
    <w:p w14:paraId="0A26E43C" w14:textId="77777777" w:rsidR="00BE6367" w:rsidRDefault="00BE6367">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p>
    <w:p w14:paraId="110E8427" w14:textId="77777777" w:rsidR="00BE6367" w:rsidRDefault="00C90F6A">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r>
        <w:rPr>
          <w:rFonts w:ascii="Arial" w:eastAsia="Arial" w:hAnsi="Arial" w:cs="Arial"/>
          <w:sz w:val="20"/>
          <w:szCs w:val="20"/>
        </w:rPr>
        <w:t>Se adjunto archivo en word con las observaciones de GEOCAPITAL S.A.</w:t>
      </w:r>
    </w:p>
    <w:p w14:paraId="74F0820A" w14:textId="77777777" w:rsidR="00BE6367" w:rsidRDefault="00BE6367">
      <w:pPr>
        <w:jc w:val="both"/>
        <w:rPr>
          <w:rFonts w:ascii="Arial" w:eastAsia="Arial" w:hAnsi="Arial" w:cs="Arial"/>
          <w:sz w:val="20"/>
          <w:szCs w:val="20"/>
        </w:rPr>
      </w:pPr>
    </w:p>
    <w:p w14:paraId="49B9AA79" w14:textId="77777777" w:rsidR="00BE6367" w:rsidRDefault="00BE6367">
      <w:pPr>
        <w:jc w:val="both"/>
        <w:rPr>
          <w:rFonts w:ascii="Arial" w:eastAsia="Arial" w:hAnsi="Arial" w:cs="Arial"/>
          <w:sz w:val="20"/>
          <w:szCs w:val="20"/>
        </w:rPr>
      </w:pPr>
    </w:p>
    <w:p w14:paraId="72CDD313" w14:textId="77777777" w:rsidR="00BE6367" w:rsidRPr="00AA7016"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lang w:val="pt-PT"/>
        </w:rPr>
      </w:pPr>
      <w:r w:rsidRPr="00AA7016">
        <w:rPr>
          <w:rFonts w:ascii="Arial" w:eastAsia="Arial" w:hAnsi="Arial" w:cs="Arial"/>
          <w:sz w:val="20"/>
          <w:szCs w:val="20"/>
          <w:lang w:val="pt-PT"/>
        </w:rPr>
        <w:t>Documento(s) Adjunto(s): Sí</w:t>
      </w:r>
    </w:p>
    <w:p w14:paraId="5D27680D" w14:textId="77777777" w:rsidR="00BE6367" w:rsidRPr="00AA7016" w:rsidRDefault="00BE6367">
      <w:pPr>
        <w:jc w:val="both"/>
        <w:rPr>
          <w:rFonts w:ascii="Arial" w:eastAsia="Arial" w:hAnsi="Arial" w:cs="Arial"/>
          <w:sz w:val="20"/>
          <w:szCs w:val="20"/>
          <w:lang w:val="pt-PT"/>
        </w:rPr>
      </w:pPr>
    </w:p>
    <w:p w14:paraId="4BCFA725" w14:textId="77777777" w:rsidR="00BE6367" w:rsidRPr="00AA7016" w:rsidRDefault="00C90F6A">
      <w:pPr>
        <w:spacing w:before="280" w:after="280"/>
        <w:jc w:val="both"/>
        <w:rPr>
          <w:rFonts w:ascii="Arial" w:eastAsia="Arial" w:hAnsi="Arial" w:cs="Arial"/>
          <w:sz w:val="20"/>
          <w:szCs w:val="20"/>
          <w:lang w:val="pt-PT"/>
        </w:rPr>
      </w:pPr>
      <w:r w:rsidRPr="00AA7016">
        <w:rPr>
          <w:rFonts w:ascii="Arial" w:eastAsia="Arial" w:hAnsi="Arial" w:cs="Arial"/>
          <w:b/>
          <w:bCs/>
          <w:sz w:val="20"/>
          <w:szCs w:val="20"/>
          <w:lang w:val="pt-PT"/>
        </w:rPr>
        <w:t>Bogotá, D.C., Julio 10 de 2026</w:t>
      </w:r>
    </w:p>
    <w:p w14:paraId="784C09E9" w14:textId="77777777" w:rsidR="00BE6367" w:rsidRDefault="00C90F6A">
      <w:pPr>
        <w:pBdr>
          <w:top w:val="nil"/>
          <w:left w:val="nil"/>
          <w:bottom w:val="nil"/>
          <w:right w:val="nil"/>
          <w:between w:val="nil"/>
        </w:pBdr>
        <w:spacing w:after="0" w:line="240" w:lineRule="auto"/>
        <w:jc w:val="both"/>
        <w:rPr>
          <w:rFonts w:ascii="Arial" w:eastAsia="Arial" w:hAnsi="Arial" w:cs="Arial"/>
          <w:b/>
          <w:bCs/>
          <w:color w:val="000000"/>
          <w:sz w:val="20"/>
          <w:szCs w:val="20"/>
        </w:rPr>
      </w:pPr>
      <w:r>
        <w:rPr>
          <w:rFonts w:ascii="Arial" w:eastAsia="Arial" w:hAnsi="Arial" w:cs="Arial"/>
          <w:color w:val="000000"/>
          <w:sz w:val="20"/>
          <w:szCs w:val="20"/>
        </w:rPr>
        <w:t>Señores</w:t>
      </w:r>
      <w:r>
        <w:rPr>
          <w:rFonts w:ascii="Arial" w:eastAsia="Arial" w:hAnsi="Arial" w:cs="Arial"/>
          <w:color w:val="000000"/>
          <w:sz w:val="20"/>
          <w:szCs w:val="20"/>
        </w:rPr>
        <w:br/>
      </w:r>
      <w:r>
        <w:rPr>
          <w:rFonts w:ascii="Arial" w:eastAsia="Arial" w:hAnsi="Arial" w:cs="Arial"/>
          <w:b/>
          <w:bCs/>
          <w:color w:val="000000"/>
          <w:sz w:val="20"/>
          <w:szCs w:val="20"/>
        </w:rPr>
        <w:t>PROCUDURIA GENERAL DE LA NACION</w:t>
      </w:r>
    </w:p>
    <w:p w14:paraId="182516D3" w14:textId="77777777" w:rsidR="00BE6367" w:rsidRDefault="00C90F6A">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Ciudad</w:t>
      </w:r>
    </w:p>
    <w:p w14:paraId="61E954C6" w14:textId="77777777" w:rsidR="00BE6367" w:rsidRDefault="00BE6367">
      <w:pPr>
        <w:pBdr>
          <w:top w:val="nil"/>
          <w:left w:val="nil"/>
          <w:bottom w:val="nil"/>
          <w:right w:val="nil"/>
          <w:between w:val="nil"/>
        </w:pBdr>
        <w:spacing w:after="0" w:line="240" w:lineRule="auto"/>
        <w:jc w:val="both"/>
        <w:rPr>
          <w:rFonts w:ascii="Arial" w:eastAsia="Arial" w:hAnsi="Arial" w:cs="Arial"/>
          <w:color w:val="000000"/>
          <w:sz w:val="20"/>
          <w:szCs w:val="20"/>
        </w:rPr>
      </w:pPr>
    </w:p>
    <w:p w14:paraId="4F660BA4" w14:textId="77777777" w:rsidR="00BE6367" w:rsidRDefault="00C90F6A">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 xml:space="preserve">Ref. OBSERVACIONES – Bol # 1616 </w:t>
      </w:r>
    </w:p>
    <w:p w14:paraId="18D97902" w14:textId="77777777" w:rsidR="00BE6367" w:rsidRDefault="00BE6367">
      <w:pPr>
        <w:pBdr>
          <w:top w:val="nil"/>
          <w:left w:val="nil"/>
          <w:bottom w:val="nil"/>
          <w:right w:val="nil"/>
          <w:between w:val="nil"/>
        </w:pBdr>
        <w:spacing w:after="0" w:line="240" w:lineRule="auto"/>
        <w:jc w:val="both"/>
        <w:rPr>
          <w:rFonts w:ascii="Arial" w:eastAsia="Arial" w:hAnsi="Arial" w:cs="Arial"/>
          <w:color w:val="000000"/>
          <w:sz w:val="20"/>
          <w:szCs w:val="20"/>
        </w:rPr>
      </w:pPr>
    </w:p>
    <w:p w14:paraId="6A0400D0" w14:textId="77777777" w:rsidR="00BE6367" w:rsidRDefault="00C90F6A">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Respetados señores,</w:t>
      </w:r>
    </w:p>
    <w:p w14:paraId="36A02985" w14:textId="77777777" w:rsidR="00BE6367" w:rsidRDefault="00BE6367">
      <w:pPr>
        <w:pBdr>
          <w:top w:val="nil"/>
          <w:left w:val="nil"/>
          <w:bottom w:val="nil"/>
          <w:right w:val="nil"/>
          <w:between w:val="nil"/>
        </w:pBdr>
        <w:spacing w:after="0" w:line="240" w:lineRule="auto"/>
        <w:jc w:val="both"/>
        <w:rPr>
          <w:rFonts w:ascii="Arial" w:eastAsia="Arial" w:hAnsi="Arial" w:cs="Arial"/>
          <w:color w:val="000000"/>
          <w:sz w:val="20"/>
          <w:szCs w:val="20"/>
        </w:rPr>
      </w:pPr>
    </w:p>
    <w:p w14:paraId="396593C1" w14:textId="77777777" w:rsidR="00BE6367" w:rsidRDefault="00C90F6A">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Presento de manera respetuosa la siguiente observación frente a los requisitos habilitantes financieros establecidos en la capacidad financiera solicitados en la Ficha Técnica de Negociación:</w:t>
      </w:r>
    </w:p>
    <w:p w14:paraId="08E2350C" w14:textId="77777777" w:rsidR="00BE6367" w:rsidRDefault="00BE6367">
      <w:pPr>
        <w:pBdr>
          <w:top w:val="nil"/>
          <w:left w:val="nil"/>
          <w:bottom w:val="nil"/>
          <w:right w:val="nil"/>
          <w:between w:val="nil"/>
        </w:pBdr>
        <w:spacing w:after="0" w:line="240" w:lineRule="auto"/>
        <w:jc w:val="both"/>
        <w:rPr>
          <w:rFonts w:ascii="Arial" w:eastAsia="Arial" w:hAnsi="Arial" w:cs="Arial"/>
          <w:color w:val="000000"/>
          <w:sz w:val="20"/>
          <w:szCs w:val="20"/>
        </w:rPr>
      </w:pPr>
    </w:p>
    <w:p w14:paraId="6919D058" w14:textId="77777777" w:rsidR="00BE6367" w:rsidRDefault="00C90F6A">
      <w:pPr>
        <w:numPr>
          <w:ilvl w:val="0"/>
          <w:numId w:val="38"/>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Solicitud: Solicitamos a la Entidad modificar el indicador de Liquidez exigido, pasando de un valor de 1,5 a 1,42. es importante precisar lo siguiente:</w:t>
      </w:r>
    </w:p>
    <w:p w14:paraId="1E5AA8A5" w14:textId="77777777" w:rsidR="00BE6367" w:rsidRDefault="00BE6367">
      <w:pPr>
        <w:pBdr>
          <w:top w:val="nil"/>
          <w:left w:val="nil"/>
          <w:bottom w:val="nil"/>
          <w:right w:val="nil"/>
          <w:between w:val="nil"/>
        </w:pBdr>
        <w:spacing w:after="0" w:line="240" w:lineRule="auto"/>
        <w:jc w:val="both"/>
        <w:rPr>
          <w:rFonts w:ascii="Arial" w:eastAsia="Arial" w:hAnsi="Arial" w:cs="Arial"/>
          <w:color w:val="000000"/>
          <w:sz w:val="20"/>
          <w:szCs w:val="20"/>
        </w:rPr>
      </w:pPr>
    </w:p>
    <w:p w14:paraId="17049244" w14:textId="77777777" w:rsidR="00BE6367" w:rsidRDefault="00C90F6A">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Sustento de la observación:</w:t>
      </w:r>
    </w:p>
    <w:p w14:paraId="256C09C1" w14:textId="77777777" w:rsidR="00BE6367" w:rsidRDefault="00BE6367">
      <w:pPr>
        <w:pBdr>
          <w:top w:val="nil"/>
          <w:left w:val="nil"/>
          <w:bottom w:val="nil"/>
          <w:right w:val="nil"/>
          <w:between w:val="nil"/>
        </w:pBdr>
        <w:spacing w:after="0" w:line="240" w:lineRule="auto"/>
        <w:jc w:val="both"/>
        <w:rPr>
          <w:rFonts w:ascii="Arial" w:eastAsia="Arial" w:hAnsi="Arial" w:cs="Arial"/>
          <w:color w:val="000000"/>
          <w:sz w:val="20"/>
          <w:szCs w:val="20"/>
        </w:rPr>
      </w:pPr>
    </w:p>
    <w:p w14:paraId="3CBEFCCB" w14:textId="77777777" w:rsidR="00BE6367" w:rsidRDefault="00C90F6A">
      <w:pPr>
        <w:numPr>
          <w:ilvl w:val="0"/>
          <w:numId w:val="39"/>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Principio de Proporcionalidad: De acuerdo con la Ley 1150 de 2007, los requisitos habilitantes deben ser proporcionales al objeto y valor del contrato. Para un contrato de suministro y soporte tecnológico, un indicador de 1,42 garantiza plenamente la solvencia necesaria para la ejecución sin imponer barreras excesivas.</w:t>
      </w:r>
    </w:p>
    <w:p w14:paraId="05F4BCC2" w14:textId="77777777" w:rsidR="00BE6367" w:rsidRDefault="00C90F6A">
      <w:pPr>
        <w:numPr>
          <w:ilvl w:val="0"/>
          <w:numId w:val="39"/>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Libre Concurrencia: Mantener un indicador de 1,5 limita la participación de oferentes que, siendo técnicamente idóneos, cuentan con estructuras financieras dinámicas propias del sector TI. El ajuste a 1,42 promueve una mayor pluralidad de oferentes, beneficiando a la Entidad mediante una subasta más competitiva.</w:t>
      </w:r>
    </w:p>
    <w:p w14:paraId="18FA1D1F" w14:textId="77777777" w:rsidR="00BE6367" w:rsidRDefault="00C90F6A">
      <w:pPr>
        <w:numPr>
          <w:ilvl w:val="0"/>
          <w:numId w:val="39"/>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Análisis del Sector: Solicitamos que el indicador sea validado frente a la realidad del mercado actual para empresas de servicios de soporte de infraestructura, donde un índice de 1,42 es un estándar aceptado y suficiente para mitigar riesgos financieros</w:t>
      </w:r>
    </w:p>
    <w:p w14:paraId="4E3BDC0B" w14:textId="77777777" w:rsidR="00BE6367" w:rsidRDefault="00C90F6A">
      <w:pPr>
        <w:numPr>
          <w:ilvl w:val="0"/>
          <w:numId w:val="40"/>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sz w:val="20"/>
          <w:szCs w:val="20"/>
        </w:rPr>
        <w:t xml:space="preserve">La empresa está catalogada como </w:t>
      </w:r>
      <w:r>
        <w:rPr>
          <w:rFonts w:ascii="Arial" w:eastAsia="Arial" w:hAnsi="Arial" w:cs="Arial"/>
          <w:b/>
          <w:bCs/>
          <w:color w:val="000000"/>
          <w:sz w:val="20"/>
          <w:szCs w:val="20"/>
        </w:rPr>
        <w:t>gran empresa</w:t>
      </w:r>
      <w:r>
        <w:rPr>
          <w:rFonts w:ascii="Arial" w:eastAsia="Arial" w:hAnsi="Arial" w:cs="Arial"/>
          <w:color w:val="000000"/>
          <w:sz w:val="20"/>
          <w:szCs w:val="20"/>
        </w:rPr>
        <w:t>, con amplia capacidad financiera y operativa para garantizar el cumplimiento de sus obligaciones contractuales.</w:t>
      </w:r>
    </w:p>
    <w:p w14:paraId="69756B29" w14:textId="77777777" w:rsidR="00BE6367" w:rsidRDefault="00C90F6A">
      <w:pPr>
        <w:numPr>
          <w:ilvl w:val="0"/>
          <w:numId w:val="40"/>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sz w:val="20"/>
          <w:szCs w:val="20"/>
        </w:rPr>
        <w:t>El indicador de liquidez refleja una situación estable y controlada, que no compromete en ningún momento la ejecución ni la continuidad de los proyectos adjudicados.</w:t>
      </w:r>
    </w:p>
    <w:p w14:paraId="589CE394" w14:textId="77777777" w:rsidR="00BE6367" w:rsidRDefault="00C90F6A">
      <w:pPr>
        <w:numPr>
          <w:ilvl w:val="0"/>
          <w:numId w:val="40"/>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sz w:val="20"/>
          <w:szCs w:val="20"/>
        </w:rPr>
        <w:t>La variación presentada se encuentra dentro de un rango razonable y no representa riesgo material, considerando la solidez patrimonial, el respaldo de los flujos de caja y la trayectoria de cumplimiento de la compañía.</w:t>
      </w:r>
    </w:p>
    <w:p w14:paraId="15D37CE2" w14:textId="77777777" w:rsidR="00BE6367" w:rsidRDefault="00BE6367">
      <w:pPr>
        <w:pBdr>
          <w:top w:val="nil"/>
          <w:left w:val="nil"/>
          <w:bottom w:val="nil"/>
          <w:right w:val="nil"/>
          <w:between w:val="nil"/>
        </w:pBdr>
        <w:spacing w:after="0" w:line="240" w:lineRule="auto"/>
        <w:jc w:val="both"/>
        <w:rPr>
          <w:rFonts w:ascii="Arial" w:eastAsia="Arial" w:hAnsi="Arial" w:cs="Arial"/>
          <w:color w:val="000000"/>
          <w:sz w:val="20"/>
          <w:szCs w:val="20"/>
        </w:rPr>
      </w:pPr>
    </w:p>
    <w:p w14:paraId="6D6AB4F4" w14:textId="77777777" w:rsidR="00BE6367" w:rsidRDefault="00C90F6A">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Por lo anterior, </w:t>
      </w:r>
      <w:r>
        <w:rPr>
          <w:rFonts w:ascii="Arial" w:eastAsia="Arial" w:hAnsi="Arial" w:cs="Arial"/>
          <w:b/>
          <w:bCs/>
          <w:color w:val="000000"/>
          <w:sz w:val="20"/>
          <w:szCs w:val="20"/>
        </w:rPr>
        <w:t>solicitamos respetuosamente que la entidad contratante acepte el índice de liquidez de 1,42</w:t>
      </w:r>
      <w:r>
        <w:rPr>
          <w:rFonts w:ascii="Arial" w:eastAsia="Arial" w:hAnsi="Arial" w:cs="Arial"/>
          <w:color w:val="000000"/>
          <w:sz w:val="20"/>
          <w:szCs w:val="20"/>
        </w:rPr>
        <w:t>, dado que la diferencia frente al parámetro exigido es mínima y no afecta la adecuada ejecución de los compromisos adquiridos.</w:t>
      </w:r>
    </w:p>
    <w:p w14:paraId="31ACE017" w14:textId="77777777" w:rsidR="00BE6367" w:rsidRDefault="00BE6367">
      <w:pPr>
        <w:pBdr>
          <w:top w:val="nil"/>
          <w:left w:val="nil"/>
          <w:bottom w:val="nil"/>
          <w:right w:val="nil"/>
          <w:between w:val="nil"/>
        </w:pBdr>
        <w:spacing w:after="0" w:line="240" w:lineRule="auto"/>
        <w:jc w:val="both"/>
        <w:rPr>
          <w:rFonts w:ascii="Arial" w:eastAsia="Arial" w:hAnsi="Arial" w:cs="Arial"/>
          <w:sz w:val="20"/>
          <w:szCs w:val="20"/>
        </w:rPr>
      </w:pPr>
    </w:p>
    <w:p w14:paraId="501D981D" w14:textId="77777777" w:rsidR="00BE6367" w:rsidRDefault="00C90F6A">
      <w:pPr>
        <w:pBdr>
          <w:top w:val="nil"/>
          <w:left w:val="nil"/>
          <w:bottom w:val="nil"/>
          <w:right w:val="nil"/>
          <w:between w:val="nil"/>
        </w:pBdr>
        <w:spacing w:after="0" w:line="240" w:lineRule="auto"/>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1A616E7F" w14:textId="77777777" w:rsidR="00BE6367" w:rsidRDefault="00BE6367">
      <w:pPr>
        <w:pBdr>
          <w:top w:val="nil"/>
          <w:left w:val="nil"/>
          <w:bottom w:val="nil"/>
          <w:right w:val="nil"/>
          <w:between w:val="nil"/>
        </w:pBdr>
        <w:spacing w:after="0" w:line="240" w:lineRule="auto"/>
        <w:jc w:val="both"/>
        <w:rPr>
          <w:rFonts w:ascii="Arial" w:eastAsia="Arial" w:hAnsi="Arial" w:cs="Arial"/>
          <w:sz w:val="20"/>
          <w:szCs w:val="20"/>
        </w:rPr>
      </w:pPr>
    </w:p>
    <w:p w14:paraId="26D8CF70" w14:textId="77777777" w:rsidR="00BE6367" w:rsidRDefault="00C90F6A">
      <w:pPr>
        <w:pBdr>
          <w:top w:val="nil"/>
          <w:left w:val="nil"/>
          <w:bottom w:val="nil"/>
          <w:right w:val="nil"/>
          <w:between w:val="nil"/>
        </w:pBdr>
        <w:spacing w:after="0" w:line="240" w:lineRule="auto"/>
        <w:jc w:val="both"/>
        <w:rPr>
          <w:rFonts w:ascii="Arial" w:eastAsia="Arial" w:hAnsi="Arial" w:cs="Arial"/>
          <w:sz w:val="20"/>
          <w:szCs w:val="20"/>
        </w:rPr>
      </w:pPr>
      <w:r>
        <w:rPr>
          <w:rFonts w:ascii="Arial" w:eastAsia="Arial" w:hAnsi="Arial" w:cs="Arial"/>
          <w:sz w:val="20"/>
          <w:szCs w:val="20"/>
        </w:rPr>
        <w:t>No se acepta la observación.</w:t>
      </w:r>
    </w:p>
    <w:p w14:paraId="669AB23C"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La Procuraduría General de la Nación estableció los requisitos de capacidad financiera dentro del marco normativo vigente y con fundamento en el análisis de las condiciones económicas, financieras y operativas del sector relacionado con el suministro, implementación y soporte de equipos de cómputo, periféricos y soluciones audiovisuales.</w:t>
      </w:r>
    </w:p>
    <w:p w14:paraId="57B48AA0"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El indicador de liquidez exigido, mayor o igual a 1,5, tiene como finalidad verificar que los potenciales comitentes vendedores dispongan de activos corrientes suficientes para atender sus obligaciones de corto plazo durante la ejecución de la negociación.</w:t>
      </w:r>
    </w:p>
    <w:p w14:paraId="44370C5E"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Este indicador debe analizarse conjuntamente con el capital de trabajo, el nivel de endeudamiento y la razón de cobertura de intereses, debido a que cada uno evalúa un aspecto diferente de la capacidad financiera del participante. La FTN establece expresamente una liquidez mayor o igual a 1,5 como condición habilitante, junto con los demás indicadores financieros definidos para el proceso.</w:t>
      </w:r>
    </w:p>
    <w:p w14:paraId="0EE24FBD"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La Entidad considera que el valor requerido resulta razonable y proporcional frente a la naturaleza, cuantía y complejidad del objeto contractual, que comprende no solamente el suministro de bienes tecnológicos, sino también actividades de implementación, integración, configuración, instalación, puesta en funcionamiento, soporte especializado, atención de garantías y demás servicios conexos.</w:t>
      </w:r>
    </w:p>
    <w:p w14:paraId="1B19B41E"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 xml:space="preserve">En este tipo de contratación, el futuro comitente vendedor debe contar con capacidad suficiente para asumir anticipadamente obligaciones relacionadas con la adquisición de equipos, importaciones, logística, transporte, personal técnico, instalación, soporte y gestión de garantías, sin que la ejecución contractual dependa exclusivamente de los pagos efectuados por la Entidad. </w:t>
      </w:r>
    </w:p>
    <w:p w14:paraId="441FAE0D"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Por esta razón, resulta necesario mantener un margen adecuado entre los activos corrientes y los pasivos corrientes del participante.</w:t>
      </w:r>
    </w:p>
    <w:p w14:paraId="0E6509AF"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 xml:space="preserve">La diferencia entre un índice de 1,42 y el indicador exigido de 1,5 no puede ser analizada únicamente como una variación numérica mínima. Los requisitos habilitantes son condiciones objetivas y generales aplicables a todos los interesados y no pueden ser modificados con </w:t>
      </w:r>
      <w:r>
        <w:rPr>
          <w:rFonts w:ascii="Arial" w:eastAsia="Arial" w:hAnsi="Arial" w:cs="Arial"/>
          <w:sz w:val="20"/>
          <w:szCs w:val="20"/>
        </w:rPr>
        <w:lastRenderedPageBreak/>
        <w:t>fundamento exclusivo en la situación financiera particular de una empresa. La clasificación del observante como gran empresa, su trayectoria, sus flujos de caja o su solidez patrimonial no sustituyen el cumplimiento del indicador establecido para verificar la capacidad financiera en condiciones de igualdad.</w:t>
      </w:r>
    </w:p>
    <w:p w14:paraId="553133B3"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Asimismo, la afirmación según la cual un índice de 1,42 constituye un estándar suficiente para las empresas del sector no se encuentra acompañada de información técnica o estadística que permita desvirtuar el análisis adelantado por la Entidad. Por el contrario, el análisis del sector evidencia la existencia de un mercado amplio y competitivo, con participación de fabricantes, mayoristas, distribuidores autorizados, integradores y proveedores especializados, lo que permite mantener condiciones de pluralidad y concurrencia bajo los indicadores definidos.</w:t>
      </w:r>
    </w:p>
    <w:p w14:paraId="5B992B8C"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La libre concurrencia y la pluralidad de oferentes no implican que la Entidad deba ajustar los requisitos habilitantes a los indicadores particulares de cada interesado. Estos principios deben armonizarse con el deber de selección objetiva, la adecuada administración de los riesgos contractuales y la protección de los recursos públicos.</w:t>
      </w:r>
    </w:p>
    <w:p w14:paraId="1E288BAE"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Así las cosas, el índice de liquidez mayor o igual a 1,5 se mantiene como una condición adecuada, razonable y proporcional para verificar que los participantes tengan capacidad suficiente para responder por sus obligaciones corrientes y garantizar la correcta ejecución de la negociación.</w:t>
      </w:r>
    </w:p>
    <w:p w14:paraId="14834251"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Por los anteriores motivos, no se modificará el indicador de liquidez establecido en la Ficha Técnica de Negociación y, en consecuencia, no se accede a la observación.</w:t>
      </w:r>
    </w:p>
    <w:p w14:paraId="0A93E86F" w14:textId="77777777" w:rsidR="00BE6367" w:rsidRDefault="00BE6367">
      <w:pPr>
        <w:pBdr>
          <w:top w:val="nil"/>
          <w:left w:val="nil"/>
          <w:bottom w:val="nil"/>
          <w:right w:val="nil"/>
          <w:between w:val="nil"/>
        </w:pBdr>
        <w:spacing w:after="0" w:line="240" w:lineRule="auto"/>
        <w:jc w:val="both"/>
        <w:rPr>
          <w:rFonts w:ascii="Arial" w:eastAsia="Arial" w:hAnsi="Arial" w:cs="Arial"/>
          <w:color w:val="000000"/>
          <w:sz w:val="20"/>
          <w:szCs w:val="20"/>
        </w:rPr>
      </w:pPr>
    </w:p>
    <w:p w14:paraId="674896FB" w14:textId="77777777" w:rsidR="00BE6367" w:rsidRDefault="00C90F6A">
      <w:pPr>
        <w:numPr>
          <w:ilvl w:val="0"/>
          <w:numId w:val="38"/>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MODALIDAD DE EXPERIENCIA A </w:t>
      </w:r>
      <w:r>
        <w:rPr>
          <w:rFonts w:ascii="Arial" w:eastAsia="Arial" w:hAnsi="Arial" w:cs="Arial"/>
          <w:sz w:val="20"/>
          <w:szCs w:val="20"/>
        </w:rPr>
        <w:t>TRAVÉS</w:t>
      </w:r>
      <w:r>
        <w:rPr>
          <w:rFonts w:ascii="Arial" w:eastAsia="Arial" w:hAnsi="Arial" w:cs="Arial"/>
          <w:color w:val="000000"/>
          <w:sz w:val="20"/>
          <w:szCs w:val="20"/>
        </w:rPr>
        <w:t xml:space="preserve"> DE CERTIFICACIONES.</w:t>
      </w:r>
    </w:p>
    <w:p w14:paraId="66D4FEE9" w14:textId="77777777" w:rsidR="00BE6367" w:rsidRDefault="00BE6367">
      <w:pPr>
        <w:pBdr>
          <w:top w:val="nil"/>
          <w:left w:val="nil"/>
          <w:bottom w:val="nil"/>
          <w:right w:val="nil"/>
          <w:between w:val="nil"/>
        </w:pBdr>
        <w:spacing w:after="0" w:line="240" w:lineRule="auto"/>
        <w:jc w:val="both"/>
        <w:rPr>
          <w:rFonts w:ascii="Arial" w:eastAsia="Arial" w:hAnsi="Arial" w:cs="Arial"/>
          <w:color w:val="000000"/>
          <w:sz w:val="20"/>
          <w:szCs w:val="20"/>
        </w:rPr>
      </w:pPr>
    </w:p>
    <w:p w14:paraId="144427C9" w14:textId="77777777" w:rsidR="00BE6367" w:rsidRDefault="00BE6367">
      <w:pPr>
        <w:pBdr>
          <w:top w:val="nil"/>
          <w:left w:val="nil"/>
          <w:bottom w:val="nil"/>
          <w:right w:val="nil"/>
          <w:between w:val="nil"/>
        </w:pBdr>
        <w:spacing w:after="0" w:line="240" w:lineRule="auto"/>
        <w:jc w:val="both"/>
        <w:rPr>
          <w:rFonts w:ascii="Arial" w:eastAsia="Arial" w:hAnsi="Arial" w:cs="Arial"/>
          <w:color w:val="000000"/>
          <w:sz w:val="20"/>
          <w:szCs w:val="20"/>
        </w:rPr>
      </w:pPr>
    </w:p>
    <w:p w14:paraId="15B6F628" w14:textId="77777777" w:rsidR="00BE6367" w:rsidRDefault="00C90F6A">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Respetuosamente solicitamos a la Entidad revisar y ajustar el requisito habilitante de experiencia contenido en la FNT permitiendo que se pueda acreditar mediante la sumatoria de las certificaciones de contratos ejecutados, siempre que su valor acumulado sea igual o superior al cincuenta (50%) porciento presupuesto oficial de la adquisición y que guarde relación con el objeto contractual </w:t>
      </w:r>
    </w:p>
    <w:p w14:paraId="270E0F7C" w14:textId="77777777" w:rsidR="00BE6367" w:rsidRDefault="00BE6367">
      <w:pPr>
        <w:pBdr>
          <w:top w:val="nil"/>
          <w:left w:val="nil"/>
          <w:bottom w:val="nil"/>
          <w:right w:val="nil"/>
          <w:between w:val="nil"/>
        </w:pBdr>
        <w:spacing w:after="0" w:line="240" w:lineRule="auto"/>
        <w:jc w:val="both"/>
        <w:rPr>
          <w:rFonts w:ascii="Arial" w:eastAsia="Arial" w:hAnsi="Arial" w:cs="Arial"/>
          <w:color w:val="000000"/>
          <w:sz w:val="20"/>
          <w:szCs w:val="20"/>
        </w:rPr>
      </w:pPr>
    </w:p>
    <w:p w14:paraId="6174CF4D" w14:textId="77777777" w:rsidR="00BE6367" w:rsidRDefault="00C90F6A">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La presente solicitud se fundamenta  en los principios de transparencia, economía , responsabilidad , economía , responsabilidad y  selección objetiva  con sagrados en la Ley 80 de 19993 , así como en el principio de eficiencia y de libre  concurrencia previstos  en la ley 11450 del 2007, normas que exigen que los requisitos  habilitantes sean objetivos, proporcionales  y adecuados a la naturaleza , cuantía y complejidad del contrato  evitando condiciones que limiten injustificadamente  la  participación de posibles oferentes .</w:t>
      </w:r>
    </w:p>
    <w:p w14:paraId="5941B335" w14:textId="77777777" w:rsidR="00BE6367" w:rsidRDefault="00BE6367">
      <w:pPr>
        <w:pBdr>
          <w:top w:val="nil"/>
          <w:left w:val="nil"/>
          <w:bottom w:val="nil"/>
          <w:right w:val="nil"/>
          <w:between w:val="nil"/>
        </w:pBdr>
        <w:spacing w:after="0" w:line="240" w:lineRule="auto"/>
        <w:jc w:val="both"/>
        <w:rPr>
          <w:rFonts w:ascii="Arial" w:eastAsia="Arial" w:hAnsi="Arial" w:cs="Arial"/>
          <w:color w:val="000000"/>
          <w:sz w:val="20"/>
          <w:szCs w:val="20"/>
        </w:rPr>
      </w:pPr>
    </w:p>
    <w:p w14:paraId="4884EA38" w14:textId="77777777" w:rsidR="00BE6367" w:rsidRDefault="00C90F6A">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En igual sentido, el Decreto 1082 del 2015 establece que la experiencia exigida debe guardar relación con el objeto y los riesgos del proceso de contratación y no puede constituir en una barrera de acceso para proponente que cuentan con las capacidades técnicas </w:t>
      </w:r>
    </w:p>
    <w:p w14:paraId="2E1A4AC0" w14:textId="77777777" w:rsidR="00BE6367" w:rsidRDefault="00C90F6A">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Permitir que la experiencia se acredite mediante la sumatoria de certificaciones al 50% del presupuesto amplia la pluralidad de oferentes, fortalece la selección objetiva y garantiza la participación de proponentes idóneos, sin disminuir las condiciones de calidad o capacidades requeridas para la adecuada ejecución del contrato.</w:t>
      </w:r>
    </w:p>
    <w:p w14:paraId="41B26A83" w14:textId="77777777" w:rsidR="00BE6367" w:rsidRDefault="00BE6367">
      <w:pPr>
        <w:pBdr>
          <w:top w:val="nil"/>
          <w:left w:val="nil"/>
          <w:bottom w:val="nil"/>
          <w:right w:val="nil"/>
          <w:between w:val="nil"/>
        </w:pBdr>
        <w:spacing w:after="0" w:line="240" w:lineRule="auto"/>
        <w:jc w:val="both"/>
        <w:rPr>
          <w:rFonts w:ascii="Arial" w:eastAsia="Arial" w:hAnsi="Arial" w:cs="Arial"/>
          <w:color w:val="000000"/>
          <w:sz w:val="20"/>
          <w:szCs w:val="20"/>
        </w:rPr>
      </w:pPr>
    </w:p>
    <w:p w14:paraId="74ACF75B" w14:textId="77777777" w:rsidR="00BE6367" w:rsidRDefault="00C90F6A">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Lo anterior solicitamos el ajuste   en armonía con los principios y disposiciones de la ley 80 del 1993, ley 1150 del 2007 y el decretó 1082 de 2015.</w:t>
      </w:r>
    </w:p>
    <w:p w14:paraId="2A9A611C" w14:textId="77777777" w:rsidR="00BE6367" w:rsidRDefault="00BE6367">
      <w:pPr>
        <w:pBdr>
          <w:top w:val="nil"/>
          <w:left w:val="nil"/>
          <w:bottom w:val="nil"/>
          <w:right w:val="nil"/>
          <w:between w:val="nil"/>
        </w:pBdr>
        <w:spacing w:after="0" w:line="240" w:lineRule="auto"/>
        <w:jc w:val="both"/>
        <w:rPr>
          <w:rFonts w:ascii="Arial" w:eastAsia="Arial" w:hAnsi="Arial" w:cs="Arial"/>
          <w:sz w:val="20"/>
          <w:szCs w:val="20"/>
        </w:rPr>
      </w:pPr>
    </w:p>
    <w:p w14:paraId="7F8C3D2B" w14:textId="77777777" w:rsidR="00BE6367" w:rsidRDefault="00C90F6A">
      <w:pPr>
        <w:pBdr>
          <w:top w:val="nil"/>
          <w:left w:val="nil"/>
          <w:bottom w:val="nil"/>
          <w:right w:val="nil"/>
          <w:between w:val="nil"/>
        </w:pBdr>
        <w:spacing w:after="0" w:line="240" w:lineRule="auto"/>
        <w:jc w:val="both"/>
        <w:rPr>
          <w:rFonts w:ascii="Arial" w:eastAsia="Arial" w:hAnsi="Arial" w:cs="Arial"/>
          <w:sz w:val="20"/>
          <w:szCs w:val="20"/>
        </w:rPr>
      </w:pPr>
      <w:r>
        <w:rPr>
          <w:rFonts w:ascii="Arial" w:eastAsia="Arial" w:hAnsi="Arial" w:cs="Arial"/>
          <w:b/>
          <w:bCs/>
          <w:sz w:val="20"/>
          <w:szCs w:val="20"/>
        </w:rPr>
        <w:t>RESPUESTA A LA OBSERVACIÓN:</w:t>
      </w:r>
      <w:r>
        <w:rPr>
          <w:rFonts w:ascii="Arial" w:eastAsia="Arial" w:hAnsi="Arial" w:cs="Arial"/>
          <w:sz w:val="20"/>
          <w:szCs w:val="20"/>
        </w:rPr>
        <w:t xml:space="preserve"> </w:t>
      </w:r>
    </w:p>
    <w:p w14:paraId="42139E32" w14:textId="77777777" w:rsidR="00BE6367" w:rsidRDefault="00BE6367">
      <w:pPr>
        <w:pBdr>
          <w:top w:val="nil"/>
          <w:left w:val="nil"/>
          <w:bottom w:val="nil"/>
          <w:right w:val="nil"/>
          <w:between w:val="nil"/>
        </w:pBdr>
        <w:spacing w:after="0" w:line="240" w:lineRule="auto"/>
        <w:jc w:val="both"/>
        <w:rPr>
          <w:rFonts w:ascii="Arial" w:eastAsia="Arial" w:hAnsi="Arial" w:cs="Arial"/>
          <w:sz w:val="20"/>
          <w:szCs w:val="20"/>
        </w:rPr>
      </w:pPr>
    </w:p>
    <w:p w14:paraId="05A8BC82" w14:textId="77777777" w:rsidR="00BE6367" w:rsidRDefault="00C90F6A">
      <w:pPr>
        <w:pBdr>
          <w:top w:val="nil"/>
          <w:left w:val="nil"/>
          <w:bottom w:val="nil"/>
          <w:right w:val="nil"/>
          <w:between w:val="nil"/>
        </w:pBdr>
        <w:spacing w:after="0" w:line="240" w:lineRule="auto"/>
        <w:jc w:val="both"/>
        <w:rPr>
          <w:rFonts w:ascii="Arial" w:eastAsia="Arial" w:hAnsi="Arial" w:cs="Arial"/>
          <w:sz w:val="20"/>
          <w:szCs w:val="20"/>
        </w:rPr>
      </w:pPr>
      <w:r>
        <w:rPr>
          <w:rFonts w:ascii="Arial" w:eastAsia="Arial" w:hAnsi="Arial" w:cs="Arial"/>
          <w:sz w:val="20"/>
          <w:szCs w:val="20"/>
        </w:rPr>
        <w:t>No se acepta la observación. Se considera  que reducir la experiencia habilitante a un valor acumulado equivalente al cincuenta por ciento (50%) del presupuesto oficial, no permitiría acreditar de manera suficiente la capacidad requerida para atender la magnitud y las obligaciones derivadas de la negociación.</w:t>
      </w:r>
    </w:p>
    <w:p w14:paraId="3554809F" w14:textId="77777777" w:rsidR="00BE6367" w:rsidRDefault="00BE6367">
      <w:pPr>
        <w:pBdr>
          <w:top w:val="nil"/>
          <w:left w:val="nil"/>
          <w:bottom w:val="nil"/>
          <w:right w:val="nil"/>
          <w:between w:val="nil"/>
        </w:pBdr>
        <w:spacing w:after="0" w:line="240" w:lineRule="auto"/>
        <w:jc w:val="both"/>
        <w:rPr>
          <w:rFonts w:ascii="Arial" w:eastAsia="Arial" w:hAnsi="Arial" w:cs="Arial"/>
          <w:sz w:val="20"/>
          <w:szCs w:val="20"/>
        </w:rPr>
      </w:pPr>
    </w:p>
    <w:p w14:paraId="05D732D9" w14:textId="77777777" w:rsidR="00BE6367" w:rsidRDefault="00C90F6A">
      <w:pPr>
        <w:pBdr>
          <w:top w:val="nil"/>
          <w:left w:val="nil"/>
          <w:bottom w:val="nil"/>
          <w:right w:val="nil"/>
          <w:between w:val="nil"/>
        </w:pBdr>
        <w:spacing w:after="0" w:line="240" w:lineRule="auto"/>
        <w:jc w:val="both"/>
        <w:rPr>
          <w:rFonts w:ascii="Arial" w:eastAsia="Arial" w:hAnsi="Arial" w:cs="Arial"/>
          <w:sz w:val="20"/>
          <w:szCs w:val="20"/>
        </w:rPr>
      </w:pPr>
      <w:r>
        <w:rPr>
          <w:rFonts w:ascii="Arial" w:eastAsia="Arial" w:hAnsi="Arial" w:cs="Arial"/>
          <w:sz w:val="20"/>
          <w:szCs w:val="20"/>
        </w:rPr>
        <w:lastRenderedPageBreak/>
        <w:t>La cuantía de la experiencia solicitada guarda relación directa con el nivel de responsabilidad e idoneidad que asumirá el futuro comitente vendedor y con la necesidad de mitigar los riesgos de incumplimiento, retrasos, deficiencias en el suministro, dificultades de integración tecnológica y falta de capacidad para atender las garantías y servicios.</w:t>
      </w:r>
    </w:p>
    <w:p w14:paraId="2BC67591" w14:textId="77777777" w:rsidR="00BE6367" w:rsidRDefault="00BE6367">
      <w:pPr>
        <w:pBdr>
          <w:top w:val="nil"/>
          <w:left w:val="nil"/>
          <w:bottom w:val="nil"/>
          <w:right w:val="nil"/>
          <w:between w:val="nil"/>
        </w:pBdr>
        <w:spacing w:after="0" w:line="240" w:lineRule="auto"/>
        <w:jc w:val="both"/>
        <w:rPr>
          <w:rFonts w:ascii="Arial" w:eastAsia="Arial" w:hAnsi="Arial" w:cs="Arial"/>
          <w:sz w:val="20"/>
          <w:szCs w:val="20"/>
        </w:rPr>
      </w:pPr>
    </w:p>
    <w:p w14:paraId="77990122" w14:textId="77777777" w:rsidR="00BE6367" w:rsidRDefault="00C90F6A">
      <w:pPr>
        <w:pBdr>
          <w:top w:val="nil"/>
          <w:left w:val="nil"/>
          <w:bottom w:val="nil"/>
          <w:right w:val="nil"/>
          <w:between w:val="nil"/>
        </w:pBdr>
        <w:spacing w:after="0" w:line="240" w:lineRule="auto"/>
        <w:jc w:val="both"/>
        <w:rPr>
          <w:rFonts w:ascii="Arial" w:eastAsia="Arial" w:hAnsi="Arial" w:cs="Arial"/>
          <w:sz w:val="20"/>
          <w:szCs w:val="20"/>
        </w:rPr>
      </w:pPr>
      <w:r>
        <w:rPr>
          <w:rFonts w:ascii="Arial" w:eastAsia="Arial" w:hAnsi="Arial" w:cs="Arial"/>
          <w:sz w:val="20"/>
          <w:szCs w:val="20"/>
        </w:rPr>
        <w:t>Así las cosas, la condición prevista resulta adecuada, razonable y proporcional a la naturaleza y magnitud del proceso, y permite verificar de manera objetiva que el futuro contratista cuenta con la experiencia necesaria para cumplir integralmente las obligaciones derivadas de la negociación.</w:t>
      </w:r>
    </w:p>
    <w:p w14:paraId="43CD5DCD" w14:textId="77777777" w:rsidR="00BE6367" w:rsidRDefault="00BE6367">
      <w:pPr>
        <w:spacing w:line="259" w:lineRule="auto"/>
        <w:jc w:val="both"/>
        <w:rPr>
          <w:rFonts w:ascii="Arial" w:eastAsia="Arial" w:hAnsi="Arial" w:cs="Arial"/>
          <w:sz w:val="20"/>
          <w:szCs w:val="20"/>
        </w:rPr>
      </w:pPr>
    </w:p>
    <w:p w14:paraId="38946368" w14:textId="77777777" w:rsidR="00BE6367" w:rsidRDefault="00C90F6A">
      <w:pPr>
        <w:numPr>
          <w:ilvl w:val="0"/>
          <w:numId w:val="71"/>
        </w:numPr>
        <w:spacing w:line="259" w:lineRule="auto"/>
        <w:jc w:val="both"/>
        <w:rPr>
          <w:rFonts w:ascii="Arial" w:eastAsia="Arial" w:hAnsi="Arial" w:cs="Arial"/>
          <w:sz w:val="20"/>
          <w:szCs w:val="20"/>
        </w:rPr>
      </w:pPr>
      <w:r>
        <w:rPr>
          <w:rFonts w:ascii="Arial" w:eastAsia="Arial" w:hAnsi="Arial" w:cs="Arial"/>
          <w:sz w:val="20"/>
          <w:szCs w:val="20"/>
        </w:rPr>
        <w:t>Solicitamos a la entidad que Modalidad de Adquisición: La negociación se realizará bajo la modalidad de puja por precio por conjunto de bienes, en dos (2) operación como se detalla a continuación:</w:t>
      </w:r>
    </w:p>
    <w:p w14:paraId="2FB64FC5" w14:textId="77777777" w:rsidR="00BE6367" w:rsidRDefault="00C90F6A">
      <w:pPr>
        <w:spacing w:line="259" w:lineRule="auto"/>
        <w:rPr>
          <w:rFonts w:ascii="Arial" w:eastAsia="Arial" w:hAnsi="Arial" w:cs="Arial"/>
          <w:b/>
          <w:bCs/>
          <w:sz w:val="20"/>
          <w:szCs w:val="20"/>
        </w:rPr>
      </w:pPr>
      <w:r>
        <w:rPr>
          <w:rFonts w:ascii="Arial" w:eastAsia="Arial" w:hAnsi="Arial" w:cs="Arial"/>
          <w:b/>
          <w:bCs/>
          <w:sz w:val="20"/>
          <w:szCs w:val="20"/>
        </w:rPr>
        <w:t>PRIMERA OPERACIÓN:</w:t>
      </w:r>
    </w:p>
    <w:tbl>
      <w:tblPr>
        <w:tblStyle w:val="ab"/>
        <w:tblW w:w="8818" w:type="dxa"/>
        <w:tblInd w:w="0" w:type="dxa"/>
        <w:tblLayout w:type="fixed"/>
        <w:tblLook w:val="0400" w:firstRow="0" w:lastRow="0" w:firstColumn="0" w:lastColumn="0" w:noHBand="0" w:noVBand="1"/>
      </w:tblPr>
      <w:tblGrid>
        <w:gridCol w:w="1050"/>
        <w:gridCol w:w="3249"/>
        <w:gridCol w:w="1108"/>
        <w:gridCol w:w="719"/>
        <w:gridCol w:w="2692"/>
      </w:tblGrid>
      <w:tr w:rsidR="00BE6367" w14:paraId="5BF9EAE8" w14:textId="77777777">
        <w:trPr>
          <w:trHeight w:val="600"/>
        </w:trPr>
        <w:tc>
          <w:tcPr>
            <w:tcW w:w="1050" w:type="dxa"/>
            <w:tcBorders>
              <w:top w:val="single" w:sz="8" w:space="0" w:color="000000"/>
              <w:left w:val="single" w:sz="8" w:space="0" w:color="000000"/>
              <w:bottom w:val="single" w:sz="8" w:space="0" w:color="000000"/>
              <w:right w:val="single" w:sz="8" w:space="0" w:color="000000"/>
            </w:tcBorders>
            <w:vAlign w:val="center"/>
          </w:tcPr>
          <w:p w14:paraId="001EFAE2" w14:textId="77777777" w:rsidR="00BE6367" w:rsidRDefault="00C90F6A">
            <w:pPr>
              <w:ind w:firstLine="442"/>
              <w:rPr>
                <w:rFonts w:ascii="Arial" w:eastAsia="Arial" w:hAnsi="Arial" w:cs="Arial"/>
                <w:b/>
                <w:bCs/>
                <w:color w:val="000000"/>
                <w:sz w:val="20"/>
                <w:szCs w:val="20"/>
              </w:rPr>
            </w:pPr>
            <w:r>
              <w:rPr>
                <w:rFonts w:ascii="Arial" w:eastAsia="Arial" w:hAnsi="Arial" w:cs="Arial"/>
                <w:b/>
                <w:bCs/>
                <w:color w:val="000000"/>
                <w:sz w:val="20"/>
                <w:szCs w:val="20"/>
              </w:rPr>
              <w:t>ITEM</w:t>
            </w:r>
          </w:p>
        </w:tc>
        <w:tc>
          <w:tcPr>
            <w:tcW w:w="3249" w:type="dxa"/>
            <w:tcBorders>
              <w:top w:val="single" w:sz="8" w:space="0" w:color="000000"/>
              <w:left w:val="nil"/>
              <w:bottom w:val="single" w:sz="8" w:space="0" w:color="000000"/>
              <w:right w:val="single" w:sz="8" w:space="0" w:color="000000"/>
            </w:tcBorders>
            <w:vAlign w:val="center"/>
          </w:tcPr>
          <w:p w14:paraId="3F8B5A10" w14:textId="77777777" w:rsidR="00BE6367" w:rsidRDefault="00C90F6A">
            <w:pPr>
              <w:rPr>
                <w:rFonts w:ascii="Arial" w:eastAsia="Arial" w:hAnsi="Arial" w:cs="Arial"/>
                <w:b/>
                <w:bCs/>
                <w:color w:val="000000"/>
                <w:sz w:val="20"/>
                <w:szCs w:val="20"/>
              </w:rPr>
            </w:pPr>
            <w:r>
              <w:rPr>
                <w:rFonts w:ascii="Arial" w:eastAsia="Arial" w:hAnsi="Arial" w:cs="Arial"/>
                <w:b/>
                <w:bCs/>
                <w:color w:val="000000"/>
                <w:sz w:val="20"/>
                <w:szCs w:val="20"/>
              </w:rPr>
              <w:t>CONCEPTO</w:t>
            </w:r>
          </w:p>
        </w:tc>
        <w:tc>
          <w:tcPr>
            <w:tcW w:w="1108" w:type="dxa"/>
            <w:tcBorders>
              <w:top w:val="single" w:sz="8" w:space="0" w:color="000000"/>
              <w:left w:val="nil"/>
              <w:bottom w:val="single" w:sz="8" w:space="0" w:color="000000"/>
              <w:right w:val="single" w:sz="8" w:space="0" w:color="000000"/>
            </w:tcBorders>
            <w:vAlign w:val="center"/>
          </w:tcPr>
          <w:p w14:paraId="600AE6DD" w14:textId="77777777" w:rsidR="00BE6367" w:rsidRDefault="00C90F6A">
            <w:pPr>
              <w:rPr>
                <w:rFonts w:ascii="Arial" w:eastAsia="Arial" w:hAnsi="Arial" w:cs="Arial"/>
                <w:b/>
                <w:bCs/>
                <w:color w:val="000000"/>
                <w:sz w:val="20"/>
                <w:szCs w:val="20"/>
              </w:rPr>
            </w:pPr>
            <w:r>
              <w:rPr>
                <w:rFonts w:ascii="Arial" w:eastAsia="Arial" w:hAnsi="Arial" w:cs="Arial"/>
                <w:b/>
                <w:bCs/>
                <w:color w:val="000000"/>
                <w:sz w:val="20"/>
                <w:szCs w:val="20"/>
              </w:rPr>
              <w:t>CANTIDAD</w:t>
            </w:r>
          </w:p>
        </w:tc>
        <w:tc>
          <w:tcPr>
            <w:tcW w:w="3411" w:type="dxa"/>
            <w:gridSpan w:val="2"/>
            <w:tcBorders>
              <w:top w:val="single" w:sz="8" w:space="0" w:color="000000"/>
              <w:left w:val="nil"/>
              <w:bottom w:val="single" w:sz="8" w:space="0" w:color="000000"/>
              <w:right w:val="single" w:sz="8" w:space="0" w:color="000000"/>
            </w:tcBorders>
            <w:vAlign w:val="center"/>
          </w:tcPr>
          <w:p w14:paraId="1D47865A" w14:textId="77777777" w:rsidR="00BE6367" w:rsidRDefault="00C90F6A">
            <w:pPr>
              <w:ind w:firstLine="221"/>
              <w:rPr>
                <w:rFonts w:ascii="Arial" w:eastAsia="Arial" w:hAnsi="Arial" w:cs="Arial"/>
                <w:b/>
                <w:bCs/>
                <w:color w:val="000000"/>
                <w:sz w:val="20"/>
                <w:szCs w:val="20"/>
              </w:rPr>
            </w:pPr>
            <w:r>
              <w:rPr>
                <w:rFonts w:ascii="Arial" w:eastAsia="Arial" w:hAnsi="Arial" w:cs="Arial"/>
                <w:b/>
                <w:bCs/>
                <w:color w:val="000000"/>
                <w:sz w:val="20"/>
                <w:szCs w:val="20"/>
              </w:rPr>
              <w:t>VALOR UNITARIO SIN IVA</w:t>
            </w:r>
          </w:p>
        </w:tc>
      </w:tr>
      <w:tr w:rsidR="00BE6367" w14:paraId="646114CC" w14:textId="77777777">
        <w:trPr>
          <w:trHeight w:val="300"/>
        </w:trPr>
        <w:tc>
          <w:tcPr>
            <w:tcW w:w="1050" w:type="dxa"/>
            <w:tcBorders>
              <w:top w:val="nil"/>
              <w:left w:val="single" w:sz="8" w:space="0" w:color="000000"/>
              <w:bottom w:val="nil"/>
              <w:right w:val="single" w:sz="8" w:space="0" w:color="000000"/>
            </w:tcBorders>
            <w:vAlign w:val="center"/>
          </w:tcPr>
          <w:p w14:paraId="1DB5B9AC"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 </w:t>
            </w:r>
          </w:p>
        </w:tc>
        <w:tc>
          <w:tcPr>
            <w:tcW w:w="3249" w:type="dxa"/>
            <w:tcBorders>
              <w:top w:val="nil"/>
              <w:left w:val="nil"/>
              <w:bottom w:val="nil"/>
              <w:right w:val="single" w:sz="8" w:space="0" w:color="000000"/>
            </w:tcBorders>
            <w:vAlign w:val="center"/>
          </w:tcPr>
          <w:p w14:paraId="5FA0CAD5"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COMPUTADOR DE ESCRITORIO –</w:t>
            </w:r>
          </w:p>
        </w:tc>
        <w:tc>
          <w:tcPr>
            <w:tcW w:w="1108" w:type="dxa"/>
            <w:tcBorders>
              <w:top w:val="nil"/>
              <w:left w:val="nil"/>
              <w:bottom w:val="nil"/>
              <w:right w:val="single" w:sz="8" w:space="0" w:color="000000"/>
            </w:tcBorders>
            <w:vAlign w:val="center"/>
          </w:tcPr>
          <w:p w14:paraId="369234EE"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 </w:t>
            </w:r>
          </w:p>
        </w:tc>
        <w:tc>
          <w:tcPr>
            <w:tcW w:w="719" w:type="dxa"/>
            <w:tcBorders>
              <w:top w:val="nil"/>
              <w:left w:val="nil"/>
              <w:bottom w:val="nil"/>
              <w:right w:val="nil"/>
            </w:tcBorders>
            <w:vAlign w:val="center"/>
          </w:tcPr>
          <w:p w14:paraId="2205695A" w14:textId="77777777" w:rsidR="00BE6367" w:rsidRDefault="00BE6367">
            <w:pPr>
              <w:rPr>
                <w:rFonts w:ascii="Arial" w:eastAsia="Arial" w:hAnsi="Arial" w:cs="Arial"/>
                <w:color w:val="000000"/>
                <w:sz w:val="20"/>
                <w:szCs w:val="20"/>
              </w:rPr>
            </w:pPr>
          </w:p>
        </w:tc>
        <w:tc>
          <w:tcPr>
            <w:tcW w:w="2692" w:type="dxa"/>
            <w:tcBorders>
              <w:top w:val="nil"/>
              <w:left w:val="nil"/>
              <w:bottom w:val="nil"/>
              <w:right w:val="single" w:sz="8" w:space="0" w:color="000000"/>
            </w:tcBorders>
            <w:vAlign w:val="center"/>
          </w:tcPr>
          <w:p w14:paraId="44A761D5"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 </w:t>
            </w:r>
          </w:p>
        </w:tc>
      </w:tr>
      <w:tr w:rsidR="00BE6367" w14:paraId="51983639"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7B67CFF1"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1</w:t>
            </w:r>
          </w:p>
        </w:tc>
        <w:tc>
          <w:tcPr>
            <w:tcW w:w="3249" w:type="dxa"/>
            <w:tcBorders>
              <w:top w:val="nil"/>
              <w:left w:val="nil"/>
              <w:bottom w:val="single" w:sz="8" w:space="0" w:color="000000"/>
              <w:right w:val="single" w:sz="8" w:space="0" w:color="000000"/>
            </w:tcBorders>
            <w:vAlign w:val="center"/>
          </w:tcPr>
          <w:p w14:paraId="58A137BA"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TIPO AIO AVANZADO</w:t>
            </w:r>
          </w:p>
        </w:tc>
        <w:tc>
          <w:tcPr>
            <w:tcW w:w="1108" w:type="dxa"/>
            <w:tcBorders>
              <w:top w:val="nil"/>
              <w:left w:val="nil"/>
              <w:bottom w:val="single" w:sz="8" w:space="0" w:color="000000"/>
              <w:right w:val="single" w:sz="8" w:space="0" w:color="000000"/>
            </w:tcBorders>
            <w:vAlign w:val="center"/>
          </w:tcPr>
          <w:p w14:paraId="3BE3B90E" w14:textId="77777777" w:rsidR="00BE6367" w:rsidRDefault="00C90F6A">
            <w:pPr>
              <w:ind w:firstLine="440"/>
              <w:rPr>
                <w:rFonts w:ascii="Arial" w:eastAsia="Arial" w:hAnsi="Arial" w:cs="Arial"/>
                <w:color w:val="000000"/>
                <w:sz w:val="20"/>
                <w:szCs w:val="20"/>
              </w:rPr>
            </w:pPr>
            <w:r>
              <w:rPr>
                <w:rFonts w:ascii="Arial" w:eastAsia="Arial" w:hAnsi="Arial" w:cs="Arial"/>
                <w:color w:val="000000"/>
                <w:sz w:val="20"/>
                <w:szCs w:val="20"/>
              </w:rPr>
              <w:t>3500</w:t>
            </w:r>
          </w:p>
        </w:tc>
        <w:tc>
          <w:tcPr>
            <w:tcW w:w="719" w:type="dxa"/>
            <w:tcBorders>
              <w:top w:val="nil"/>
              <w:left w:val="nil"/>
              <w:bottom w:val="single" w:sz="8" w:space="0" w:color="000000"/>
              <w:right w:val="nil"/>
            </w:tcBorders>
            <w:vAlign w:val="center"/>
          </w:tcPr>
          <w:p w14:paraId="2A3F29CD" w14:textId="77777777" w:rsidR="00BE6367" w:rsidRDefault="00C90F6A">
            <w:pPr>
              <w:ind w:firstLine="220"/>
              <w:rPr>
                <w:rFonts w:ascii="Arial" w:eastAsia="Arial" w:hAnsi="Arial" w:cs="Arial"/>
                <w:color w:val="000000"/>
                <w:sz w:val="20"/>
                <w:szCs w:val="20"/>
              </w:rPr>
            </w:pPr>
            <w:r>
              <w:rPr>
                <w:rFonts w:ascii="Arial" w:eastAsia="Arial" w:hAnsi="Arial" w:cs="Arial"/>
                <w:color w:val="000000"/>
                <w:sz w:val="20"/>
                <w:szCs w:val="20"/>
              </w:rPr>
              <w:t>$</w:t>
            </w:r>
          </w:p>
        </w:tc>
        <w:tc>
          <w:tcPr>
            <w:tcW w:w="2692" w:type="dxa"/>
            <w:tcBorders>
              <w:top w:val="nil"/>
              <w:left w:val="nil"/>
              <w:bottom w:val="single" w:sz="8" w:space="0" w:color="000000"/>
              <w:right w:val="single" w:sz="8" w:space="0" w:color="000000"/>
            </w:tcBorders>
            <w:vAlign w:val="center"/>
          </w:tcPr>
          <w:p w14:paraId="54335D89" w14:textId="77777777" w:rsidR="00BE6367" w:rsidRDefault="00C90F6A">
            <w:pPr>
              <w:ind w:firstLine="1100"/>
              <w:rPr>
                <w:rFonts w:ascii="Arial" w:eastAsia="Arial" w:hAnsi="Arial" w:cs="Arial"/>
                <w:color w:val="000000"/>
                <w:sz w:val="20"/>
                <w:szCs w:val="20"/>
              </w:rPr>
            </w:pPr>
            <w:r>
              <w:rPr>
                <w:rFonts w:ascii="Arial" w:eastAsia="Arial" w:hAnsi="Arial" w:cs="Arial"/>
                <w:color w:val="000000"/>
                <w:sz w:val="20"/>
                <w:szCs w:val="20"/>
              </w:rPr>
              <w:t>12.057.614</w:t>
            </w:r>
          </w:p>
        </w:tc>
      </w:tr>
      <w:tr w:rsidR="00BE6367" w14:paraId="3EEA496C" w14:textId="77777777">
        <w:trPr>
          <w:trHeight w:val="1485"/>
        </w:trPr>
        <w:tc>
          <w:tcPr>
            <w:tcW w:w="1050" w:type="dxa"/>
            <w:tcBorders>
              <w:top w:val="nil"/>
              <w:left w:val="single" w:sz="8" w:space="0" w:color="000000"/>
              <w:bottom w:val="nil"/>
              <w:right w:val="single" w:sz="8" w:space="0" w:color="000000"/>
            </w:tcBorders>
            <w:vAlign w:val="center"/>
          </w:tcPr>
          <w:p w14:paraId="5765004C"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 </w:t>
            </w:r>
          </w:p>
        </w:tc>
        <w:tc>
          <w:tcPr>
            <w:tcW w:w="3249" w:type="dxa"/>
            <w:vMerge w:val="restart"/>
            <w:tcBorders>
              <w:top w:val="nil"/>
              <w:left w:val="single" w:sz="8" w:space="0" w:color="000000"/>
              <w:bottom w:val="single" w:sz="8" w:space="0" w:color="000000"/>
              <w:right w:val="single" w:sz="8" w:space="0" w:color="000000"/>
            </w:tcBorders>
            <w:vAlign w:val="center"/>
          </w:tcPr>
          <w:p w14:paraId="58C94A69" w14:textId="77777777" w:rsidR="00BE6367" w:rsidRDefault="00C90F6A">
            <w:pPr>
              <w:ind w:firstLine="1540"/>
              <w:rPr>
                <w:rFonts w:ascii="Arial" w:eastAsia="Arial" w:hAnsi="Arial" w:cs="Arial"/>
                <w:color w:val="000000"/>
                <w:sz w:val="20"/>
                <w:szCs w:val="20"/>
              </w:rPr>
            </w:pPr>
            <w:r>
              <w:rPr>
                <w:rFonts w:ascii="Arial" w:eastAsia="Arial" w:hAnsi="Arial" w:cs="Arial"/>
                <w:color w:val="000000"/>
                <w:sz w:val="20"/>
                <w:szCs w:val="20"/>
              </w:rPr>
              <w:t>COMPUTADOR DE ESCRITORIO - WORKSTATION</w:t>
            </w:r>
          </w:p>
        </w:tc>
        <w:tc>
          <w:tcPr>
            <w:tcW w:w="1108" w:type="dxa"/>
            <w:tcBorders>
              <w:top w:val="nil"/>
              <w:left w:val="nil"/>
              <w:bottom w:val="nil"/>
              <w:right w:val="single" w:sz="8" w:space="0" w:color="000000"/>
            </w:tcBorders>
            <w:vAlign w:val="center"/>
          </w:tcPr>
          <w:p w14:paraId="3D388014"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 </w:t>
            </w:r>
          </w:p>
        </w:tc>
        <w:tc>
          <w:tcPr>
            <w:tcW w:w="719" w:type="dxa"/>
            <w:tcBorders>
              <w:top w:val="nil"/>
              <w:left w:val="nil"/>
              <w:bottom w:val="nil"/>
              <w:right w:val="nil"/>
            </w:tcBorders>
            <w:vAlign w:val="center"/>
          </w:tcPr>
          <w:p w14:paraId="3B964241" w14:textId="77777777" w:rsidR="00BE6367" w:rsidRDefault="00BE6367">
            <w:pPr>
              <w:rPr>
                <w:rFonts w:ascii="Arial" w:eastAsia="Arial" w:hAnsi="Arial" w:cs="Arial"/>
                <w:color w:val="000000"/>
                <w:sz w:val="20"/>
                <w:szCs w:val="20"/>
              </w:rPr>
            </w:pPr>
          </w:p>
        </w:tc>
        <w:tc>
          <w:tcPr>
            <w:tcW w:w="2692" w:type="dxa"/>
            <w:tcBorders>
              <w:top w:val="nil"/>
              <w:left w:val="nil"/>
              <w:bottom w:val="nil"/>
              <w:right w:val="single" w:sz="8" w:space="0" w:color="000000"/>
            </w:tcBorders>
            <w:vAlign w:val="center"/>
          </w:tcPr>
          <w:p w14:paraId="0E7879EE"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 </w:t>
            </w:r>
          </w:p>
        </w:tc>
      </w:tr>
      <w:tr w:rsidR="00BE6367" w14:paraId="7B7CCE10" w14:textId="77777777">
        <w:trPr>
          <w:trHeight w:val="50"/>
        </w:trPr>
        <w:tc>
          <w:tcPr>
            <w:tcW w:w="1050" w:type="dxa"/>
            <w:tcBorders>
              <w:top w:val="nil"/>
              <w:left w:val="single" w:sz="8" w:space="0" w:color="000000"/>
              <w:bottom w:val="single" w:sz="8" w:space="0" w:color="000000"/>
              <w:right w:val="single" w:sz="8" w:space="0" w:color="000000"/>
            </w:tcBorders>
            <w:vAlign w:val="center"/>
          </w:tcPr>
          <w:p w14:paraId="3D0F8349"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2</w:t>
            </w:r>
          </w:p>
        </w:tc>
        <w:tc>
          <w:tcPr>
            <w:tcW w:w="3249" w:type="dxa"/>
            <w:vMerge/>
            <w:tcBorders>
              <w:top w:val="nil"/>
              <w:left w:val="single" w:sz="8" w:space="0" w:color="000000"/>
              <w:bottom w:val="single" w:sz="8" w:space="0" w:color="000000"/>
              <w:right w:val="single" w:sz="8" w:space="0" w:color="000000"/>
            </w:tcBorders>
            <w:vAlign w:val="center"/>
          </w:tcPr>
          <w:p w14:paraId="172C5333" w14:textId="77777777" w:rsidR="00BE6367" w:rsidRDefault="00BE6367">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tc>
        <w:tc>
          <w:tcPr>
            <w:tcW w:w="1108" w:type="dxa"/>
            <w:tcBorders>
              <w:top w:val="nil"/>
              <w:left w:val="nil"/>
              <w:bottom w:val="single" w:sz="8" w:space="0" w:color="000000"/>
              <w:right w:val="single" w:sz="8" w:space="0" w:color="000000"/>
            </w:tcBorders>
            <w:vAlign w:val="center"/>
          </w:tcPr>
          <w:p w14:paraId="1A80908A"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23</w:t>
            </w:r>
          </w:p>
        </w:tc>
        <w:tc>
          <w:tcPr>
            <w:tcW w:w="719" w:type="dxa"/>
            <w:tcBorders>
              <w:top w:val="nil"/>
              <w:left w:val="nil"/>
              <w:bottom w:val="single" w:sz="8" w:space="0" w:color="000000"/>
              <w:right w:val="nil"/>
            </w:tcBorders>
            <w:vAlign w:val="center"/>
          </w:tcPr>
          <w:p w14:paraId="5135BCC6" w14:textId="77777777" w:rsidR="00BE6367" w:rsidRDefault="00C90F6A">
            <w:pPr>
              <w:ind w:firstLine="220"/>
              <w:rPr>
                <w:rFonts w:ascii="Arial" w:eastAsia="Arial" w:hAnsi="Arial" w:cs="Arial"/>
                <w:color w:val="000000"/>
                <w:sz w:val="20"/>
                <w:szCs w:val="20"/>
              </w:rPr>
            </w:pPr>
            <w:r>
              <w:rPr>
                <w:rFonts w:ascii="Arial" w:eastAsia="Arial" w:hAnsi="Arial" w:cs="Arial"/>
                <w:color w:val="000000"/>
                <w:sz w:val="20"/>
                <w:szCs w:val="20"/>
              </w:rPr>
              <w:t>$</w:t>
            </w:r>
          </w:p>
        </w:tc>
        <w:tc>
          <w:tcPr>
            <w:tcW w:w="2692" w:type="dxa"/>
            <w:tcBorders>
              <w:top w:val="nil"/>
              <w:left w:val="nil"/>
              <w:bottom w:val="single" w:sz="8" w:space="0" w:color="000000"/>
              <w:right w:val="single" w:sz="8" w:space="0" w:color="000000"/>
            </w:tcBorders>
            <w:vAlign w:val="center"/>
          </w:tcPr>
          <w:p w14:paraId="1597CC14" w14:textId="77777777" w:rsidR="00BE6367" w:rsidRDefault="00C90F6A">
            <w:pPr>
              <w:ind w:firstLine="1100"/>
              <w:rPr>
                <w:rFonts w:ascii="Arial" w:eastAsia="Arial" w:hAnsi="Arial" w:cs="Arial"/>
                <w:color w:val="000000"/>
                <w:sz w:val="20"/>
                <w:szCs w:val="20"/>
              </w:rPr>
            </w:pPr>
            <w:r>
              <w:rPr>
                <w:rFonts w:ascii="Arial" w:eastAsia="Arial" w:hAnsi="Arial" w:cs="Arial"/>
                <w:color w:val="000000"/>
                <w:sz w:val="20"/>
                <w:szCs w:val="20"/>
              </w:rPr>
              <w:t>73.609.399</w:t>
            </w:r>
          </w:p>
        </w:tc>
      </w:tr>
      <w:tr w:rsidR="00BE6367" w14:paraId="29E5FEFC" w14:textId="77777777">
        <w:trPr>
          <w:trHeight w:val="1485"/>
        </w:trPr>
        <w:tc>
          <w:tcPr>
            <w:tcW w:w="1050" w:type="dxa"/>
            <w:tcBorders>
              <w:top w:val="nil"/>
              <w:left w:val="single" w:sz="8" w:space="0" w:color="000000"/>
              <w:bottom w:val="nil"/>
              <w:right w:val="single" w:sz="8" w:space="0" w:color="000000"/>
            </w:tcBorders>
            <w:vAlign w:val="center"/>
          </w:tcPr>
          <w:p w14:paraId="7DFA41DB"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 </w:t>
            </w:r>
          </w:p>
        </w:tc>
        <w:tc>
          <w:tcPr>
            <w:tcW w:w="3249" w:type="dxa"/>
            <w:vMerge w:val="restart"/>
            <w:tcBorders>
              <w:top w:val="nil"/>
              <w:left w:val="single" w:sz="8" w:space="0" w:color="000000"/>
              <w:bottom w:val="single" w:sz="8" w:space="0" w:color="000000"/>
              <w:right w:val="single" w:sz="8" w:space="0" w:color="000000"/>
            </w:tcBorders>
            <w:vAlign w:val="center"/>
          </w:tcPr>
          <w:p w14:paraId="04BD6D1E" w14:textId="77777777" w:rsidR="00BE6367" w:rsidRDefault="00C90F6A">
            <w:pPr>
              <w:ind w:firstLine="1540"/>
              <w:rPr>
                <w:rFonts w:ascii="Arial" w:eastAsia="Arial" w:hAnsi="Arial" w:cs="Arial"/>
                <w:color w:val="000000"/>
                <w:sz w:val="20"/>
                <w:szCs w:val="20"/>
              </w:rPr>
            </w:pPr>
            <w:r>
              <w:rPr>
                <w:rFonts w:ascii="Arial" w:eastAsia="Arial" w:hAnsi="Arial" w:cs="Arial"/>
                <w:color w:val="000000"/>
                <w:sz w:val="20"/>
                <w:szCs w:val="20"/>
              </w:rPr>
              <w:t>COMPUTADOR DE ESCRITORIO TIPO DESKTOP MINI</w:t>
            </w:r>
          </w:p>
        </w:tc>
        <w:tc>
          <w:tcPr>
            <w:tcW w:w="1108" w:type="dxa"/>
            <w:tcBorders>
              <w:top w:val="nil"/>
              <w:left w:val="nil"/>
              <w:bottom w:val="nil"/>
              <w:right w:val="single" w:sz="8" w:space="0" w:color="000000"/>
            </w:tcBorders>
            <w:vAlign w:val="center"/>
          </w:tcPr>
          <w:p w14:paraId="720FC36E"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 </w:t>
            </w:r>
          </w:p>
        </w:tc>
        <w:tc>
          <w:tcPr>
            <w:tcW w:w="719" w:type="dxa"/>
            <w:tcBorders>
              <w:top w:val="nil"/>
              <w:left w:val="nil"/>
              <w:bottom w:val="nil"/>
              <w:right w:val="nil"/>
            </w:tcBorders>
            <w:vAlign w:val="center"/>
          </w:tcPr>
          <w:p w14:paraId="61C94141" w14:textId="77777777" w:rsidR="00BE6367" w:rsidRDefault="00BE6367">
            <w:pPr>
              <w:rPr>
                <w:rFonts w:ascii="Arial" w:eastAsia="Arial" w:hAnsi="Arial" w:cs="Arial"/>
                <w:color w:val="000000"/>
                <w:sz w:val="20"/>
                <w:szCs w:val="20"/>
              </w:rPr>
            </w:pPr>
          </w:p>
        </w:tc>
        <w:tc>
          <w:tcPr>
            <w:tcW w:w="2692" w:type="dxa"/>
            <w:tcBorders>
              <w:top w:val="nil"/>
              <w:left w:val="nil"/>
              <w:bottom w:val="nil"/>
              <w:right w:val="single" w:sz="8" w:space="0" w:color="000000"/>
            </w:tcBorders>
            <w:vAlign w:val="center"/>
          </w:tcPr>
          <w:p w14:paraId="00D942D8"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 </w:t>
            </w:r>
          </w:p>
        </w:tc>
      </w:tr>
      <w:tr w:rsidR="00BE6367" w14:paraId="47CA4366"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7773CAF5"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3</w:t>
            </w:r>
          </w:p>
        </w:tc>
        <w:tc>
          <w:tcPr>
            <w:tcW w:w="3249" w:type="dxa"/>
            <w:vMerge/>
            <w:tcBorders>
              <w:top w:val="nil"/>
              <w:left w:val="single" w:sz="8" w:space="0" w:color="000000"/>
              <w:bottom w:val="single" w:sz="8" w:space="0" w:color="000000"/>
              <w:right w:val="single" w:sz="8" w:space="0" w:color="000000"/>
            </w:tcBorders>
            <w:vAlign w:val="center"/>
          </w:tcPr>
          <w:p w14:paraId="303E144D" w14:textId="77777777" w:rsidR="00BE6367" w:rsidRDefault="00BE6367">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tc>
        <w:tc>
          <w:tcPr>
            <w:tcW w:w="1108" w:type="dxa"/>
            <w:tcBorders>
              <w:top w:val="nil"/>
              <w:left w:val="nil"/>
              <w:bottom w:val="single" w:sz="8" w:space="0" w:color="000000"/>
              <w:right w:val="single" w:sz="8" w:space="0" w:color="000000"/>
            </w:tcBorders>
            <w:vAlign w:val="center"/>
          </w:tcPr>
          <w:p w14:paraId="589D906F"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20</w:t>
            </w:r>
          </w:p>
        </w:tc>
        <w:tc>
          <w:tcPr>
            <w:tcW w:w="719" w:type="dxa"/>
            <w:tcBorders>
              <w:top w:val="nil"/>
              <w:left w:val="nil"/>
              <w:bottom w:val="single" w:sz="8" w:space="0" w:color="000000"/>
              <w:right w:val="nil"/>
            </w:tcBorders>
            <w:vAlign w:val="center"/>
          </w:tcPr>
          <w:p w14:paraId="2FBAD096" w14:textId="77777777" w:rsidR="00BE6367" w:rsidRDefault="00C90F6A">
            <w:pPr>
              <w:ind w:firstLine="220"/>
              <w:rPr>
                <w:rFonts w:ascii="Arial" w:eastAsia="Arial" w:hAnsi="Arial" w:cs="Arial"/>
                <w:color w:val="000000"/>
                <w:sz w:val="20"/>
                <w:szCs w:val="20"/>
              </w:rPr>
            </w:pPr>
            <w:r>
              <w:rPr>
                <w:rFonts w:ascii="Arial" w:eastAsia="Arial" w:hAnsi="Arial" w:cs="Arial"/>
                <w:color w:val="000000"/>
                <w:sz w:val="20"/>
                <w:szCs w:val="20"/>
              </w:rPr>
              <w:t>$</w:t>
            </w:r>
          </w:p>
        </w:tc>
        <w:tc>
          <w:tcPr>
            <w:tcW w:w="2692" w:type="dxa"/>
            <w:tcBorders>
              <w:top w:val="nil"/>
              <w:left w:val="nil"/>
              <w:bottom w:val="single" w:sz="8" w:space="0" w:color="000000"/>
              <w:right w:val="single" w:sz="8" w:space="0" w:color="000000"/>
            </w:tcBorders>
            <w:vAlign w:val="center"/>
          </w:tcPr>
          <w:p w14:paraId="2CE0D14D" w14:textId="77777777" w:rsidR="00BE6367" w:rsidRDefault="00C90F6A">
            <w:pPr>
              <w:ind w:firstLine="1100"/>
              <w:rPr>
                <w:rFonts w:ascii="Arial" w:eastAsia="Arial" w:hAnsi="Arial" w:cs="Arial"/>
                <w:color w:val="000000"/>
                <w:sz w:val="20"/>
                <w:szCs w:val="20"/>
              </w:rPr>
            </w:pPr>
            <w:r>
              <w:rPr>
                <w:rFonts w:ascii="Arial" w:eastAsia="Arial" w:hAnsi="Arial" w:cs="Arial"/>
                <w:color w:val="000000"/>
                <w:sz w:val="20"/>
                <w:szCs w:val="20"/>
              </w:rPr>
              <w:t>43.973.100</w:t>
            </w:r>
          </w:p>
        </w:tc>
      </w:tr>
      <w:tr w:rsidR="00BE6367" w14:paraId="3CCB90EA"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35888462"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4</w:t>
            </w:r>
          </w:p>
        </w:tc>
        <w:tc>
          <w:tcPr>
            <w:tcW w:w="3249" w:type="dxa"/>
            <w:tcBorders>
              <w:top w:val="nil"/>
              <w:left w:val="nil"/>
              <w:bottom w:val="single" w:sz="8" w:space="0" w:color="000000"/>
              <w:right w:val="single" w:sz="8" w:space="0" w:color="000000"/>
            </w:tcBorders>
            <w:vAlign w:val="center"/>
          </w:tcPr>
          <w:p w14:paraId="514B85C2" w14:textId="77777777" w:rsidR="00BE6367" w:rsidRDefault="00C90F6A">
            <w:pPr>
              <w:ind w:firstLine="880"/>
              <w:rPr>
                <w:rFonts w:ascii="Arial" w:eastAsia="Arial" w:hAnsi="Arial" w:cs="Arial"/>
                <w:color w:val="000000"/>
                <w:sz w:val="20"/>
                <w:szCs w:val="20"/>
              </w:rPr>
            </w:pPr>
            <w:r>
              <w:rPr>
                <w:rFonts w:ascii="Arial" w:eastAsia="Arial" w:hAnsi="Arial" w:cs="Arial"/>
                <w:color w:val="000000"/>
                <w:sz w:val="20"/>
                <w:szCs w:val="20"/>
              </w:rPr>
              <w:t>COMPUTADOR PORTÁTIL</w:t>
            </w:r>
          </w:p>
        </w:tc>
        <w:tc>
          <w:tcPr>
            <w:tcW w:w="1108" w:type="dxa"/>
            <w:tcBorders>
              <w:top w:val="nil"/>
              <w:left w:val="nil"/>
              <w:bottom w:val="single" w:sz="8" w:space="0" w:color="000000"/>
              <w:right w:val="single" w:sz="8" w:space="0" w:color="000000"/>
            </w:tcBorders>
            <w:vAlign w:val="center"/>
          </w:tcPr>
          <w:p w14:paraId="59573B5E"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5</w:t>
            </w:r>
          </w:p>
        </w:tc>
        <w:tc>
          <w:tcPr>
            <w:tcW w:w="719" w:type="dxa"/>
            <w:tcBorders>
              <w:top w:val="nil"/>
              <w:left w:val="nil"/>
              <w:bottom w:val="single" w:sz="8" w:space="0" w:color="000000"/>
              <w:right w:val="nil"/>
            </w:tcBorders>
            <w:vAlign w:val="center"/>
          </w:tcPr>
          <w:p w14:paraId="028D6177" w14:textId="77777777" w:rsidR="00BE6367" w:rsidRDefault="00C90F6A">
            <w:pPr>
              <w:ind w:firstLine="220"/>
              <w:rPr>
                <w:rFonts w:ascii="Arial" w:eastAsia="Arial" w:hAnsi="Arial" w:cs="Arial"/>
                <w:color w:val="000000"/>
                <w:sz w:val="20"/>
                <w:szCs w:val="20"/>
              </w:rPr>
            </w:pPr>
            <w:r>
              <w:rPr>
                <w:rFonts w:ascii="Arial" w:eastAsia="Arial" w:hAnsi="Arial" w:cs="Arial"/>
                <w:color w:val="000000"/>
                <w:sz w:val="20"/>
                <w:szCs w:val="20"/>
              </w:rPr>
              <w:t>$</w:t>
            </w:r>
          </w:p>
        </w:tc>
        <w:tc>
          <w:tcPr>
            <w:tcW w:w="2692" w:type="dxa"/>
            <w:tcBorders>
              <w:top w:val="nil"/>
              <w:left w:val="nil"/>
              <w:bottom w:val="single" w:sz="8" w:space="0" w:color="000000"/>
              <w:right w:val="single" w:sz="8" w:space="0" w:color="000000"/>
            </w:tcBorders>
            <w:vAlign w:val="center"/>
          </w:tcPr>
          <w:p w14:paraId="04E0BD51" w14:textId="77777777" w:rsidR="00BE6367" w:rsidRDefault="00C90F6A">
            <w:pPr>
              <w:ind w:firstLine="1100"/>
              <w:rPr>
                <w:rFonts w:ascii="Arial" w:eastAsia="Arial" w:hAnsi="Arial" w:cs="Arial"/>
                <w:color w:val="000000"/>
                <w:sz w:val="20"/>
                <w:szCs w:val="20"/>
              </w:rPr>
            </w:pPr>
            <w:r>
              <w:rPr>
                <w:rFonts w:ascii="Arial" w:eastAsia="Arial" w:hAnsi="Arial" w:cs="Arial"/>
                <w:color w:val="000000"/>
                <w:sz w:val="20"/>
                <w:szCs w:val="20"/>
              </w:rPr>
              <w:t>13.176.197</w:t>
            </w:r>
          </w:p>
        </w:tc>
      </w:tr>
      <w:tr w:rsidR="00BE6367" w14:paraId="2520BC05"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68832C39"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5</w:t>
            </w:r>
          </w:p>
        </w:tc>
        <w:tc>
          <w:tcPr>
            <w:tcW w:w="3249" w:type="dxa"/>
            <w:tcBorders>
              <w:top w:val="nil"/>
              <w:left w:val="nil"/>
              <w:bottom w:val="single" w:sz="8" w:space="0" w:color="000000"/>
              <w:right w:val="single" w:sz="8" w:space="0" w:color="000000"/>
            </w:tcBorders>
            <w:vAlign w:val="center"/>
          </w:tcPr>
          <w:p w14:paraId="0B4485B7"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TABLETA</w:t>
            </w:r>
          </w:p>
        </w:tc>
        <w:tc>
          <w:tcPr>
            <w:tcW w:w="1108" w:type="dxa"/>
            <w:tcBorders>
              <w:top w:val="nil"/>
              <w:left w:val="nil"/>
              <w:bottom w:val="single" w:sz="8" w:space="0" w:color="000000"/>
              <w:right w:val="single" w:sz="8" w:space="0" w:color="000000"/>
            </w:tcBorders>
            <w:vAlign w:val="center"/>
          </w:tcPr>
          <w:p w14:paraId="5ECA6C62"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3</w:t>
            </w:r>
          </w:p>
        </w:tc>
        <w:tc>
          <w:tcPr>
            <w:tcW w:w="719" w:type="dxa"/>
            <w:tcBorders>
              <w:top w:val="nil"/>
              <w:left w:val="nil"/>
              <w:bottom w:val="single" w:sz="8" w:space="0" w:color="000000"/>
              <w:right w:val="nil"/>
            </w:tcBorders>
            <w:vAlign w:val="center"/>
          </w:tcPr>
          <w:p w14:paraId="16ACE091" w14:textId="77777777" w:rsidR="00BE6367" w:rsidRDefault="00C90F6A">
            <w:pPr>
              <w:ind w:firstLine="220"/>
              <w:rPr>
                <w:rFonts w:ascii="Arial" w:eastAsia="Arial" w:hAnsi="Arial" w:cs="Arial"/>
                <w:color w:val="000000"/>
                <w:sz w:val="20"/>
                <w:szCs w:val="20"/>
              </w:rPr>
            </w:pPr>
            <w:r>
              <w:rPr>
                <w:rFonts w:ascii="Arial" w:eastAsia="Arial" w:hAnsi="Arial" w:cs="Arial"/>
                <w:color w:val="000000"/>
                <w:sz w:val="20"/>
                <w:szCs w:val="20"/>
              </w:rPr>
              <w:t>$</w:t>
            </w:r>
          </w:p>
        </w:tc>
        <w:tc>
          <w:tcPr>
            <w:tcW w:w="2692" w:type="dxa"/>
            <w:tcBorders>
              <w:top w:val="nil"/>
              <w:left w:val="nil"/>
              <w:bottom w:val="single" w:sz="8" w:space="0" w:color="000000"/>
              <w:right w:val="single" w:sz="8" w:space="0" w:color="000000"/>
            </w:tcBorders>
            <w:vAlign w:val="center"/>
          </w:tcPr>
          <w:p w14:paraId="012FE2E9" w14:textId="77777777" w:rsidR="00BE6367" w:rsidRDefault="00C90F6A">
            <w:pPr>
              <w:ind w:firstLine="1100"/>
              <w:rPr>
                <w:rFonts w:ascii="Arial" w:eastAsia="Arial" w:hAnsi="Arial" w:cs="Arial"/>
                <w:color w:val="000000"/>
                <w:sz w:val="20"/>
                <w:szCs w:val="20"/>
              </w:rPr>
            </w:pPr>
            <w:r>
              <w:rPr>
                <w:rFonts w:ascii="Arial" w:eastAsia="Arial" w:hAnsi="Arial" w:cs="Arial"/>
                <w:color w:val="000000"/>
                <w:sz w:val="20"/>
                <w:szCs w:val="20"/>
              </w:rPr>
              <w:t>10.635.354</w:t>
            </w:r>
          </w:p>
        </w:tc>
      </w:tr>
      <w:tr w:rsidR="00BE6367" w14:paraId="7C53EDC0" w14:textId="77777777">
        <w:trPr>
          <w:trHeight w:val="885"/>
        </w:trPr>
        <w:tc>
          <w:tcPr>
            <w:tcW w:w="1050" w:type="dxa"/>
            <w:tcBorders>
              <w:top w:val="nil"/>
              <w:left w:val="single" w:sz="8" w:space="0" w:color="000000"/>
              <w:bottom w:val="nil"/>
              <w:right w:val="single" w:sz="8" w:space="0" w:color="000000"/>
            </w:tcBorders>
            <w:vAlign w:val="center"/>
          </w:tcPr>
          <w:p w14:paraId="73D9C835"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 </w:t>
            </w:r>
          </w:p>
        </w:tc>
        <w:tc>
          <w:tcPr>
            <w:tcW w:w="3249" w:type="dxa"/>
            <w:vMerge w:val="restart"/>
            <w:tcBorders>
              <w:top w:val="nil"/>
              <w:left w:val="single" w:sz="8" w:space="0" w:color="000000"/>
              <w:bottom w:val="single" w:sz="8" w:space="0" w:color="000000"/>
              <w:right w:val="single" w:sz="8" w:space="0" w:color="000000"/>
            </w:tcBorders>
            <w:vAlign w:val="center"/>
          </w:tcPr>
          <w:p w14:paraId="04E28E09" w14:textId="77777777" w:rsidR="00BE6367" w:rsidRDefault="00C90F6A">
            <w:pPr>
              <w:ind w:firstLine="1760"/>
              <w:rPr>
                <w:rFonts w:ascii="Arial" w:eastAsia="Arial" w:hAnsi="Arial" w:cs="Arial"/>
                <w:color w:val="000000"/>
                <w:sz w:val="20"/>
                <w:szCs w:val="20"/>
              </w:rPr>
            </w:pPr>
            <w:r>
              <w:rPr>
                <w:rFonts w:ascii="Arial" w:eastAsia="Arial" w:hAnsi="Arial" w:cs="Arial"/>
                <w:color w:val="000000"/>
                <w:sz w:val="20"/>
                <w:szCs w:val="20"/>
              </w:rPr>
              <w:t>MONITOR PARA EQUIPOS DE COMPUTO</w:t>
            </w:r>
          </w:p>
        </w:tc>
        <w:tc>
          <w:tcPr>
            <w:tcW w:w="1108" w:type="dxa"/>
            <w:tcBorders>
              <w:top w:val="nil"/>
              <w:left w:val="nil"/>
              <w:bottom w:val="nil"/>
              <w:right w:val="single" w:sz="8" w:space="0" w:color="000000"/>
            </w:tcBorders>
            <w:vAlign w:val="center"/>
          </w:tcPr>
          <w:p w14:paraId="026F9304"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 </w:t>
            </w:r>
          </w:p>
        </w:tc>
        <w:tc>
          <w:tcPr>
            <w:tcW w:w="719" w:type="dxa"/>
            <w:tcBorders>
              <w:top w:val="nil"/>
              <w:left w:val="nil"/>
              <w:bottom w:val="nil"/>
              <w:right w:val="nil"/>
            </w:tcBorders>
            <w:vAlign w:val="center"/>
          </w:tcPr>
          <w:p w14:paraId="0D67A638" w14:textId="77777777" w:rsidR="00BE6367" w:rsidRDefault="00BE6367">
            <w:pPr>
              <w:rPr>
                <w:rFonts w:ascii="Arial" w:eastAsia="Arial" w:hAnsi="Arial" w:cs="Arial"/>
                <w:color w:val="000000"/>
                <w:sz w:val="20"/>
                <w:szCs w:val="20"/>
              </w:rPr>
            </w:pPr>
          </w:p>
        </w:tc>
        <w:tc>
          <w:tcPr>
            <w:tcW w:w="2692" w:type="dxa"/>
            <w:tcBorders>
              <w:top w:val="nil"/>
              <w:left w:val="nil"/>
              <w:bottom w:val="nil"/>
              <w:right w:val="single" w:sz="8" w:space="0" w:color="000000"/>
            </w:tcBorders>
            <w:vAlign w:val="center"/>
          </w:tcPr>
          <w:p w14:paraId="5C607ACD"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 </w:t>
            </w:r>
          </w:p>
        </w:tc>
      </w:tr>
      <w:tr w:rsidR="00BE6367" w14:paraId="6B4BE784"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3AD4D271"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9</w:t>
            </w:r>
          </w:p>
        </w:tc>
        <w:tc>
          <w:tcPr>
            <w:tcW w:w="3249" w:type="dxa"/>
            <w:vMerge/>
            <w:tcBorders>
              <w:top w:val="nil"/>
              <w:left w:val="single" w:sz="8" w:space="0" w:color="000000"/>
              <w:bottom w:val="single" w:sz="8" w:space="0" w:color="000000"/>
              <w:right w:val="single" w:sz="8" w:space="0" w:color="000000"/>
            </w:tcBorders>
            <w:vAlign w:val="center"/>
          </w:tcPr>
          <w:p w14:paraId="1199FDEA" w14:textId="77777777" w:rsidR="00BE6367" w:rsidRDefault="00BE6367">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tc>
        <w:tc>
          <w:tcPr>
            <w:tcW w:w="1108" w:type="dxa"/>
            <w:tcBorders>
              <w:top w:val="nil"/>
              <w:left w:val="nil"/>
              <w:bottom w:val="single" w:sz="8" w:space="0" w:color="000000"/>
              <w:right w:val="single" w:sz="8" w:space="0" w:color="000000"/>
            </w:tcBorders>
            <w:vAlign w:val="center"/>
          </w:tcPr>
          <w:p w14:paraId="5BAEAAB6"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50</w:t>
            </w:r>
          </w:p>
        </w:tc>
        <w:tc>
          <w:tcPr>
            <w:tcW w:w="719" w:type="dxa"/>
            <w:tcBorders>
              <w:top w:val="nil"/>
              <w:left w:val="nil"/>
              <w:bottom w:val="single" w:sz="8" w:space="0" w:color="000000"/>
              <w:right w:val="nil"/>
            </w:tcBorders>
            <w:vAlign w:val="center"/>
          </w:tcPr>
          <w:p w14:paraId="56D7E481" w14:textId="77777777" w:rsidR="00BE6367" w:rsidRDefault="00C90F6A">
            <w:pPr>
              <w:ind w:firstLine="220"/>
              <w:rPr>
                <w:rFonts w:ascii="Arial" w:eastAsia="Arial" w:hAnsi="Arial" w:cs="Arial"/>
                <w:color w:val="000000"/>
                <w:sz w:val="20"/>
                <w:szCs w:val="20"/>
              </w:rPr>
            </w:pPr>
            <w:r>
              <w:rPr>
                <w:rFonts w:ascii="Arial" w:eastAsia="Arial" w:hAnsi="Arial" w:cs="Arial"/>
                <w:color w:val="000000"/>
                <w:sz w:val="20"/>
                <w:szCs w:val="20"/>
              </w:rPr>
              <w:t>$</w:t>
            </w:r>
          </w:p>
        </w:tc>
        <w:tc>
          <w:tcPr>
            <w:tcW w:w="2692" w:type="dxa"/>
            <w:tcBorders>
              <w:top w:val="nil"/>
              <w:left w:val="nil"/>
              <w:bottom w:val="single" w:sz="8" w:space="0" w:color="000000"/>
              <w:right w:val="single" w:sz="8" w:space="0" w:color="000000"/>
            </w:tcBorders>
            <w:vAlign w:val="center"/>
          </w:tcPr>
          <w:p w14:paraId="33660148" w14:textId="77777777" w:rsidR="00BE6367" w:rsidRDefault="00C90F6A">
            <w:pPr>
              <w:ind w:firstLine="1540"/>
              <w:rPr>
                <w:rFonts w:ascii="Arial" w:eastAsia="Arial" w:hAnsi="Arial" w:cs="Arial"/>
                <w:color w:val="000000"/>
                <w:sz w:val="20"/>
                <w:szCs w:val="20"/>
              </w:rPr>
            </w:pPr>
            <w:r>
              <w:rPr>
                <w:rFonts w:ascii="Arial" w:eastAsia="Arial" w:hAnsi="Arial" w:cs="Arial"/>
                <w:color w:val="000000"/>
                <w:sz w:val="20"/>
                <w:szCs w:val="20"/>
              </w:rPr>
              <w:t>806.305</w:t>
            </w:r>
          </w:p>
        </w:tc>
      </w:tr>
      <w:tr w:rsidR="00BE6367" w14:paraId="11C89F28"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59FDB447"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10</w:t>
            </w:r>
          </w:p>
        </w:tc>
        <w:tc>
          <w:tcPr>
            <w:tcW w:w="3249" w:type="dxa"/>
            <w:tcBorders>
              <w:top w:val="nil"/>
              <w:left w:val="nil"/>
              <w:bottom w:val="single" w:sz="8" w:space="0" w:color="000000"/>
              <w:right w:val="single" w:sz="8" w:space="0" w:color="000000"/>
            </w:tcBorders>
            <w:vAlign w:val="center"/>
          </w:tcPr>
          <w:p w14:paraId="74F9F569"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TECLADOS</w:t>
            </w:r>
          </w:p>
        </w:tc>
        <w:tc>
          <w:tcPr>
            <w:tcW w:w="1108" w:type="dxa"/>
            <w:tcBorders>
              <w:top w:val="nil"/>
              <w:left w:val="nil"/>
              <w:bottom w:val="single" w:sz="8" w:space="0" w:color="000000"/>
              <w:right w:val="single" w:sz="8" w:space="0" w:color="000000"/>
            </w:tcBorders>
            <w:vAlign w:val="center"/>
          </w:tcPr>
          <w:p w14:paraId="3448B362"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50</w:t>
            </w:r>
          </w:p>
        </w:tc>
        <w:tc>
          <w:tcPr>
            <w:tcW w:w="719" w:type="dxa"/>
            <w:tcBorders>
              <w:top w:val="nil"/>
              <w:left w:val="nil"/>
              <w:bottom w:val="single" w:sz="8" w:space="0" w:color="000000"/>
              <w:right w:val="nil"/>
            </w:tcBorders>
            <w:vAlign w:val="center"/>
          </w:tcPr>
          <w:p w14:paraId="6416825A" w14:textId="77777777" w:rsidR="00BE6367" w:rsidRDefault="00C90F6A">
            <w:pPr>
              <w:ind w:firstLine="220"/>
              <w:rPr>
                <w:rFonts w:ascii="Arial" w:eastAsia="Arial" w:hAnsi="Arial" w:cs="Arial"/>
                <w:color w:val="000000"/>
                <w:sz w:val="20"/>
                <w:szCs w:val="20"/>
              </w:rPr>
            </w:pPr>
            <w:r>
              <w:rPr>
                <w:rFonts w:ascii="Arial" w:eastAsia="Arial" w:hAnsi="Arial" w:cs="Arial"/>
                <w:color w:val="000000"/>
                <w:sz w:val="20"/>
                <w:szCs w:val="20"/>
              </w:rPr>
              <w:t>$</w:t>
            </w:r>
          </w:p>
        </w:tc>
        <w:tc>
          <w:tcPr>
            <w:tcW w:w="2692" w:type="dxa"/>
            <w:tcBorders>
              <w:top w:val="nil"/>
              <w:left w:val="nil"/>
              <w:bottom w:val="single" w:sz="8" w:space="0" w:color="000000"/>
              <w:right w:val="single" w:sz="8" w:space="0" w:color="000000"/>
            </w:tcBorders>
            <w:vAlign w:val="center"/>
          </w:tcPr>
          <w:p w14:paraId="4E93A909" w14:textId="77777777" w:rsidR="00BE6367" w:rsidRDefault="00C90F6A">
            <w:pPr>
              <w:ind w:firstLine="1540"/>
              <w:rPr>
                <w:rFonts w:ascii="Arial" w:eastAsia="Arial" w:hAnsi="Arial" w:cs="Arial"/>
                <w:color w:val="000000"/>
                <w:sz w:val="20"/>
                <w:szCs w:val="20"/>
              </w:rPr>
            </w:pPr>
            <w:r>
              <w:rPr>
                <w:rFonts w:ascii="Arial" w:eastAsia="Arial" w:hAnsi="Arial" w:cs="Arial"/>
                <w:color w:val="000000"/>
                <w:sz w:val="20"/>
                <w:szCs w:val="20"/>
              </w:rPr>
              <w:t>115.451</w:t>
            </w:r>
          </w:p>
        </w:tc>
      </w:tr>
      <w:tr w:rsidR="00BE6367" w14:paraId="48B8056E"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588E6FB0"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11</w:t>
            </w:r>
          </w:p>
        </w:tc>
        <w:tc>
          <w:tcPr>
            <w:tcW w:w="3249" w:type="dxa"/>
            <w:tcBorders>
              <w:top w:val="nil"/>
              <w:left w:val="nil"/>
              <w:bottom w:val="single" w:sz="8" w:space="0" w:color="000000"/>
              <w:right w:val="single" w:sz="8" w:space="0" w:color="000000"/>
            </w:tcBorders>
            <w:vAlign w:val="center"/>
          </w:tcPr>
          <w:p w14:paraId="6B5F8894"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MOUSE</w:t>
            </w:r>
          </w:p>
        </w:tc>
        <w:tc>
          <w:tcPr>
            <w:tcW w:w="1108" w:type="dxa"/>
            <w:tcBorders>
              <w:top w:val="nil"/>
              <w:left w:val="nil"/>
              <w:bottom w:val="single" w:sz="8" w:space="0" w:color="000000"/>
              <w:right w:val="single" w:sz="8" w:space="0" w:color="000000"/>
            </w:tcBorders>
            <w:vAlign w:val="center"/>
          </w:tcPr>
          <w:p w14:paraId="4B078735"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50</w:t>
            </w:r>
          </w:p>
        </w:tc>
        <w:tc>
          <w:tcPr>
            <w:tcW w:w="719" w:type="dxa"/>
            <w:tcBorders>
              <w:top w:val="nil"/>
              <w:left w:val="nil"/>
              <w:bottom w:val="single" w:sz="8" w:space="0" w:color="000000"/>
              <w:right w:val="nil"/>
            </w:tcBorders>
            <w:vAlign w:val="center"/>
          </w:tcPr>
          <w:p w14:paraId="7ADAD664" w14:textId="77777777" w:rsidR="00BE6367" w:rsidRDefault="00C90F6A">
            <w:pPr>
              <w:ind w:firstLine="220"/>
              <w:rPr>
                <w:rFonts w:ascii="Arial" w:eastAsia="Arial" w:hAnsi="Arial" w:cs="Arial"/>
                <w:color w:val="000000"/>
                <w:sz w:val="20"/>
                <w:szCs w:val="20"/>
              </w:rPr>
            </w:pPr>
            <w:r>
              <w:rPr>
                <w:rFonts w:ascii="Arial" w:eastAsia="Arial" w:hAnsi="Arial" w:cs="Arial"/>
                <w:color w:val="000000"/>
                <w:sz w:val="20"/>
                <w:szCs w:val="20"/>
              </w:rPr>
              <w:t>$</w:t>
            </w:r>
          </w:p>
        </w:tc>
        <w:tc>
          <w:tcPr>
            <w:tcW w:w="2692" w:type="dxa"/>
            <w:tcBorders>
              <w:top w:val="nil"/>
              <w:left w:val="nil"/>
              <w:bottom w:val="single" w:sz="8" w:space="0" w:color="000000"/>
              <w:right w:val="single" w:sz="8" w:space="0" w:color="000000"/>
            </w:tcBorders>
            <w:vAlign w:val="center"/>
          </w:tcPr>
          <w:p w14:paraId="385FA7E0" w14:textId="77777777" w:rsidR="00BE6367" w:rsidRDefault="00C90F6A">
            <w:pPr>
              <w:ind w:firstLine="1540"/>
              <w:rPr>
                <w:rFonts w:ascii="Arial" w:eastAsia="Arial" w:hAnsi="Arial" w:cs="Arial"/>
                <w:color w:val="000000"/>
                <w:sz w:val="20"/>
                <w:szCs w:val="20"/>
              </w:rPr>
            </w:pPr>
            <w:r>
              <w:rPr>
                <w:rFonts w:ascii="Arial" w:eastAsia="Arial" w:hAnsi="Arial" w:cs="Arial"/>
                <w:color w:val="000000"/>
                <w:sz w:val="20"/>
                <w:szCs w:val="20"/>
              </w:rPr>
              <w:t>57.725</w:t>
            </w:r>
          </w:p>
        </w:tc>
      </w:tr>
      <w:tr w:rsidR="00BE6367" w14:paraId="0444C106"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56B52A9F"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12</w:t>
            </w:r>
          </w:p>
        </w:tc>
        <w:tc>
          <w:tcPr>
            <w:tcW w:w="3249" w:type="dxa"/>
            <w:tcBorders>
              <w:top w:val="nil"/>
              <w:left w:val="nil"/>
              <w:bottom w:val="single" w:sz="8" w:space="0" w:color="000000"/>
              <w:right w:val="single" w:sz="8" w:space="0" w:color="000000"/>
            </w:tcBorders>
            <w:vAlign w:val="center"/>
          </w:tcPr>
          <w:p w14:paraId="7F30F18C" w14:textId="77777777" w:rsidR="00BE6367" w:rsidRDefault="00C90F6A">
            <w:pPr>
              <w:ind w:firstLine="1760"/>
              <w:rPr>
                <w:rFonts w:ascii="Arial" w:eastAsia="Arial" w:hAnsi="Arial" w:cs="Arial"/>
                <w:color w:val="000000"/>
                <w:sz w:val="20"/>
                <w:szCs w:val="20"/>
              </w:rPr>
            </w:pPr>
            <w:r>
              <w:rPr>
                <w:rFonts w:ascii="Arial" w:eastAsia="Arial" w:hAnsi="Arial" w:cs="Arial"/>
                <w:color w:val="000000"/>
                <w:sz w:val="20"/>
                <w:szCs w:val="20"/>
              </w:rPr>
              <w:t> </w:t>
            </w:r>
          </w:p>
        </w:tc>
        <w:tc>
          <w:tcPr>
            <w:tcW w:w="1108" w:type="dxa"/>
            <w:tcBorders>
              <w:top w:val="nil"/>
              <w:left w:val="nil"/>
              <w:bottom w:val="single" w:sz="8" w:space="0" w:color="000000"/>
              <w:right w:val="single" w:sz="8" w:space="0" w:color="000000"/>
            </w:tcBorders>
            <w:vAlign w:val="center"/>
          </w:tcPr>
          <w:p w14:paraId="13AF7542"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20</w:t>
            </w:r>
          </w:p>
        </w:tc>
        <w:tc>
          <w:tcPr>
            <w:tcW w:w="719" w:type="dxa"/>
            <w:tcBorders>
              <w:top w:val="nil"/>
              <w:left w:val="nil"/>
              <w:bottom w:val="single" w:sz="8" w:space="0" w:color="000000"/>
              <w:right w:val="nil"/>
            </w:tcBorders>
            <w:vAlign w:val="center"/>
          </w:tcPr>
          <w:p w14:paraId="4D321FF2" w14:textId="77777777" w:rsidR="00BE6367" w:rsidRDefault="00C90F6A">
            <w:pPr>
              <w:ind w:firstLine="440"/>
              <w:rPr>
                <w:rFonts w:ascii="Arial" w:eastAsia="Arial" w:hAnsi="Arial" w:cs="Arial"/>
                <w:color w:val="000000"/>
                <w:sz w:val="20"/>
                <w:szCs w:val="20"/>
              </w:rPr>
            </w:pPr>
            <w:r>
              <w:rPr>
                <w:rFonts w:ascii="Arial" w:eastAsia="Arial" w:hAnsi="Arial" w:cs="Arial"/>
                <w:color w:val="000000"/>
                <w:sz w:val="20"/>
                <w:szCs w:val="20"/>
              </w:rPr>
              <w:t>$</w:t>
            </w:r>
          </w:p>
        </w:tc>
        <w:tc>
          <w:tcPr>
            <w:tcW w:w="2692" w:type="dxa"/>
            <w:tcBorders>
              <w:top w:val="nil"/>
              <w:left w:val="nil"/>
              <w:bottom w:val="single" w:sz="8" w:space="0" w:color="000000"/>
              <w:right w:val="single" w:sz="8" w:space="0" w:color="000000"/>
            </w:tcBorders>
            <w:vAlign w:val="center"/>
          </w:tcPr>
          <w:p w14:paraId="17005EE2" w14:textId="77777777" w:rsidR="00BE6367" w:rsidRDefault="00C90F6A">
            <w:pPr>
              <w:ind w:firstLine="1100"/>
              <w:rPr>
                <w:rFonts w:ascii="Arial" w:eastAsia="Arial" w:hAnsi="Arial" w:cs="Arial"/>
                <w:color w:val="000000"/>
                <w:sz w:val="20"/>
                <w:szCs w:val="20"/>
              </w:rPr>
            </w:pPr>
            <w:r>
              <w:rPr>
                <w:rFonts w:ascii="Arial" w:eastAsia="Arial" w:hAnsi="Arial" w:cs="Arial"/>
                <w:color w:val="000000"/>
                <w:sz w:val="20"/>
                <w:szCs w:val="20"/>
              </w:rPr>
              <w:t>3.773.455</w:t>
            </w:r>
          </w:p>
        </w:tc>
      </w:tr>
      <w:tr w:rsidR="00BE6367" w14:paraId="4FCEA908"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5CADAA24"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lastRenderedPageBreak/>
              <w:t>13</w:t>
            </w:r>
          </w:p>
        </w:tc>
        <w:tc>
          <w:tcPr>
            <w:tcW w:w="3249" w:type="dxa"/>
            <w:tcBorders>
              <w:top w:val="nil"/>
              <w:left w:val="nil"/>
              <w:bottom w:val="single" w:sz="8" w:space="0" w:color="000000"/>
              <w:right w:val="single" w:sz="8" w:space="0" w:color="000000"/>
            </w:tcBorders>
            <w:vAlign w:val="center"/>
          </w:tcPr>
          <w:p w14:paraId="0D65124E" w14:textId="77777777" w:rsidR="00BE6367" w:rsidRDefault="00C90F6A">
            <w:pPr>
              <w:ind w:firstLine="880"/>
              <w:rPr>
                <w:rFonts w:ascii="Arial" w:eastAsia="Arial" w:hAnsi="Arial" w:cs="Arial"/>
                <w:color w:val="000000"/>
                <w:sz w:val="20"/>
                <w:szCs w:val="20"/>
              </w:rPr>
            </w:pPr>
            <w:r>
              <w:rPr>
                <w:rFonts w:ascii="Arial" w:eastAsia="Arial" w:hAnsi="Arial" w:cs="Arial"/>
                <w:color w:val="000000"/>
                <w:sz w:val="20"/>
                <w:szCs w:val="20"/>
              </w:rPr>
              <w:t>TARJETAS DE MEMORIA</w:t>
            </w:r>
          </w:p>
        </w:tc>
        <w:tc>
          <w:tcPr>
            <w:tcW w:w="1108" w:type="dxa"/>
            <w:tcBorders>
              <w:top w:val="nil"/>
              <w:left w:val="nil"/>
              <w:bottom w:val="single" w:sz="8" w:space="0" w:color="000000"/>
              <w:right w:val="single" w:sz="8" w:space="0" w:color="000000"/>
            </w:tcBorders>
            <w:vAlign w:val="center"/>
          </w:tcPr>
          <w:p w14:paraId="797BEB09"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12</w:t>
            </w:r>
          </w:p>
        </w:tc>
        <w:tc>
          <w:tcPr>
            <w:tcW w:w="719" w:type="dxa"/>
            <w:tcBorders>
              <w:top w:val="nil"/>
              <w:left w:val="nil"/>
              <w:bottom w:val="single" w:sz="8" w:space="0" w:color="000000"/>
              <w:right w:val="nil"/>
            </w:tcBorders>
            <w:vAlign w:val="center"/>
          </w:tcPr>
          <w:p w14:paraId="21F4BB06" w14:textId="77777777" w:rsidR="00BE6367" w:rsidRDefault="00C90F6A">
            <w:pPr>
              <w:ind w:firstLine="220"/>
              <w:rPr>
                <w:rFonts w:ascii="Arial" w:eastAsia="Arial" w:hAnsi="Arial" w:cs="Arial"/>
                <w:color w:val="000000"/>
                <w:sz w:val="20"/>
                <w:szCs w:val="20"/>
              </w:rPr>
            </w:pPr>
            <w:r>
              <w:rPr>
                <w:rFonts w:ascii="Arial" w:eastAsia="Arial" w:hAnsi="Arial" w:cs="Arial"/>
                <w:color w:val="000000"/>
                <w:sz w:val="20"/>
                <w:szCs w:val="20"/>
              </w:rPr>
              <w:t>$</w:t>
            </w:r>
          </w:p>
        </w:tc>
        <w:tc>
          <w:tcPr>
            <w:tcW w:w="2692" w:type="dxa"/>
            <w:tcBorders>
              <w:top w:val="nil"/>
              <w:left w:val="nil"/>
              <w:bottom w:val="single" w:sz="8" w:space="0" w:color="000000"/>
              <w:right w:val="single" w:sz="8" w:space="0" w:color="000000"/>
            </w:tcBorders>
            <w:vAlign w:val="center"/>
          </w:tcPr>
          <w:p w14:paraId="44B7874F" w14:textId="77777777" w:rsidR="00BE6367" w:rsidRDefault="00C90F6A">
            <w:pPr>
              <w:ind w:firstLine="1540"/>
              <w:rPr>
                <w:rFonts w:ascii="Arial" w:eastAsia="Arial" w:hAnsi="Arial" w:cs="Arial"/>
                <w:color w:val="000000"/>
                <w:sz w:val="20"/>
                <w:szCs w:val="20"/>
              </w:rPr>
            </w:pPr>
            <w:r>
              <w:rPr>
                <w:rFonts w:ascii="Arial" w:eastAsia="Arial" w:hAnsi="Arial" w:cs="Arial"/>
                <w:color w:val="000000"/>
                <w:sz w:val="20"/>
                <w:szCs w:val="20"/>
              </w:rPr>
              <w:t>288.628</w:t>
            </w:r>
          </w:p>
        </w:tc>
      </w:tr>
      <w:tr w:rsidR="00BE6367" w14:paraId="15101293"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46376EC0"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14</w:t>
            </w:r>
          </w:p>
        </w:tc>
        <w:tc>
          <w:tcPr>
            <w:tcW w:w="3249" w:type="dxa"/>
            <w:tcBorders>
              <w:top w:val="nil"/>
              <w:left w:val="nil"/>
              <w:bottom w:val="single" w:sz="8" w:space="0" w:color="000000"/>
              <w:right w:val="single" w:sz="8" w:space="0" w:color="000000"/>
            </w:tcBorders>
            <w:vAlign w:val="center"/>
          </w:tcPr>
          <w:p w14:paraId="57A0833B" w14:textId="77777777" w:rsidR="00BE6367" w:rsidRDefault="00C90F6A">
            <w:pPr>
              <w:ind w:firstLine="1760"/>
              <w:rPr>
                <w:rFonts w:ascii="Arial" w:eastAsia="Arial" w:hAnsi="Arial" w:cs="Arial"/>
                <w:color w:val="000000"/>
                <w:sz w:val="20"/>
                <w:szCs w:val="20"/>
              </w:rPr>
            </w:pPr>
            <w:r>
              <w:rPr>
                <w:rFonts w:ascii="Arial" w:eastAsia="Arial" w:hAnsi="Arial" w:cs="Arial"/>
                <w:color w:val="000000"/>
                <w:sz w:val="20"/>
                <w:szCs w:val="20"/>
              </w:rPr>
              <w:t>DISCO DURO</w:t>
            </w:r>
          </w:p>
        </w:tc>
        <w:tc>
          <w:tcPr>
            <w:tcW w:w="1108" w:type="dxa"/>
            <w:tcBorders>
              <w:top w:val="nil"/>
              <w:left w:val="nil"/>
              <w:bottom w:val="single" w:sz="8" w:space="0" w:color="000000"/>
              <w:right w:val="single" w:sz="8" w:space="0" w:color="000000"/>
            </w:tcBorders>
            <w:vAlign w:val="center"/>
          </w:tcPr>
          <w:p w14:paraId="43D75336"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12</w:t>
            </w:r>
          </w:p>
        </w:tc>
        <w:tc>
          <w:tcPr>
            <w:tcW w:w="719" w:type="dxa"/>
            <w:tcBorders>
              <w:top w:val="nil"/>
              <w:left w:val="nil"/>
              <w:bottom w:val="single" w:sz="8" w:space="0" w:color="000000"/>
              <w:right w:val="nil"/>
            </w:tcBorders>
            <w:vAlign w:val="center"/>
          </w:tcPr>
          <w:p w14:paraId="36A02439" w14:textId="77777777" w:rsidR="00BE6367" w:rsidRDefault="00C90F6A">
            <w:pPr>
              <w:ind w:firstLine="440"/>
              <w:rPr>
                <w:rFonts w:ascii="Arial" w:eastAsia="Arial" w:hAnsi="Arial" w:cs="Arial"/>
                <w:color w:val="000000"/>
                <w:sz w:val="20"/>
                <w:szCs w:val="20"/>
              </w:rPr>
            </w:pPr>
            <w:r>
              <w:rPr>
                <w:rFonts w:ascii="Arial" w:eastAsia="Arial" w:hAnsi="Arial" w:cs="Arial"/>
                <w:color w:val="000000"/>
                <w:sz w:val="20"/>
                <w:szCs w:val="20"/>
              </w:rPr>
              <w:t>$</w:t>
            </w:r>
          </w:p>
        </w:tc>
        <w:tc>
          <w:tcPr>
            <w:tcW w:w="2692" w:type="dxa"/>
            <w:tcBorders>
              <w:top w:val="nil"/>
              <w:left w:val="nil"/>
              <w:bottom w:val="single" w:sz="8" w:space="0" w:color="000000"/>
              <w:right w:val="single" w:sz="8" w:space="0" w:color="000000"/>
            </w:tcBorders>
            <w:vAlign w:val="center"/>
          </w:tcPr>
          <w:p w14:paraId="389A5DDF" w14:textId="77777777" w:rsidR="00BE6367" w:rsidRDefault="00C90F6A">
            <w:pPr>
              <w:ind w:firstLine="1100"/>
              <w:rPr>
                <w:rFonts w:ascii="Arial" w:eastAsia="Arial" w:hAnsi="Arial" w:cs="Arial"/>
                <w:color w:val="000000"/>
                <w:sz w:val="20"/>
                <w:szCs w:val="20"/>
              </w:rPr>
            </w:pPr>
            <w:r>
              <w:rPr>
                <w:rFonts w:ascii="Arial" w:eastAsia="Arial" w:hAnsi="Arial" w:cs="Arial"/>
                <w:color w:val="000000"/>
                <w:sz w:val="20"/>
                <w:szCs w:val="20"/>
              </w:rPr>
              <w:t>2.424.474</w:t>
            </w:r>
          </w:p>
        </w:tc>
      </w:tr>
      <w:tr w:rsidR="00BE6367" w14:paraId="68493628" w14:textId="77777777">
        <w:trPr>
          <w:trHeight w:val="300"/>
        </w:trPr>
        <w:tc>
          <w:tcPr>
            <w:tcW w:w="1050" w:type="dxa"/>
            <w:tcBorders>
              <w:top w:val="nil"/>
              <w:left w:val="single" w:sz="8" w:space="0" w:color="000000"/>
              <w:bottom w:val="nil"/>
              <w:right w:val="single" w:sz="8" w:space="0" w:color="000000"/>
            </w:tcBorders>
            <w:vAlign w:val="center"/>
          </w:tcPr>
          <w:p w14:paraId="24A54DB9"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 </w:t>
            </w:r>
          </w:p>
        </w:tc>
        <w:tc>
          <w:tcPr>
            <w:tcW w:w="3249" w:type="dxa"/>
            <w:vMerge w:val="restart"/>
            <w:tcBorders>
              <w:top w:val="nil"/>
              <w:left w:val="single" w:sz="8" w:space="0" w:color="000000"/>
              <w:bottom w:val="single" w:sz="8" w:space="0" w:color="000000"/>
              <w:right w:val="single" w:sz="8" w:space="0" w:color="000000"/>
            </w:tcBorders>
            <w:vAlign w:val="center"/>
          </w:tcPr>
          <w:p w14:paraId="74A36E26" w14:textId="77777777" w:rsidR="00BE6367" w:rsidRDefault="00C90F6A">
            <w:pPr>
              <w:ind w:firstLine="1980"/>
              <w:rPr>
                <w:rFonts w:ascii="Arial" w:eastAsia="Arial" w:hAnsi="Arial" w:cs="Arial"/>
                <w:color w:val="000000"/>
                <w:sz w:val="20"/>
                <w:szCs w:val="20"/>
              </w:rPr>
            </w:pPr>
            <w:r>
              <w:rPr>
                <w:rFonts w:ascii="Arial" w:eastAsia="Arial" w:hAnsi="Arial" w:cs="Arial"/>
                <w:color w:val="000000"/>
                <w:sz w:val="20"/>
                <w:szCs w:val="20"/>
              </w:rPr>
              <w:t>CABLE HDMI OPTICO ACTIVO 40 METROS</w:t>
            </w:r>
          </w:p>
        </w:tc>
        <w:tc>
          <w:tcPr>
            <w:tcW w:w="1108" w:type="dxa"/>
            <w:tcBorders>
              <w:top w:val="nil"/>
              <w:left w:val="nil"/>
              <w:bottom w:val="nil"/>
              <w:right w:val="single" w:sz="8" w:space="0" w:color="000000"/>
            </w:tcBorders>
            <w:vAlign w:val="center"/>
          </w:tcPr>
          <w:p w14:paraId="3CC58DA2"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 </w:t>
            </w:r>
          </w:p>
        </w:tc>
        <w:tc>
          <w:tcPr>
            <w:tcW w:w="719" w:type="dxa"/>
            <w:tcBorders>
              <w:top w:val="nil"/>
              <w:left w:val="nil"/>
              <w:bottom w:val="nil"/>
              <w:right w:val="nil"/>
            </w:tcBorders>
            <w:vAlign w:val="center"/>
          </w:tcPr>
          <w:p w14:paraId="01D75400" w14:textId="77777777" w:rsidR="00BE6367" w:rsidRDefault="00BE6367">
            <w:pPr>
              <w:rPr>
                <w:rFonts w:ascii="Arial" w:eastAsia="Arial" w:hAnsi="Arial" w:cs="Arial"/>
                <w:color w:val="000000"/>
                <w:sz w:val="20"/>
                <w:szCs w:val="20"/>
              </w:rPr>
            </w:pPr>
          </w:p>
        </w:tc>
        <w:tc>
          <w:tcPr>
            <w:tcW w:w="2692" w:type="dxa"/>
            <w:tcBorders>
              <w:top w:val="nil"/>
              <w:left w:val="nil"/>
              <w:bottom w:val="nil"/>
              <w:right w:val="single" w:sz="8" w:space="0" w:color="000000"/>
            </w:tcBorders>
            <w:vAlign w:val="center"/>
          </w:tcPr>
          <w:p w14:paraId="3CBE36CD"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 </w:t>
            </w:r>
          </w:p>
        </w:tc>
      </w:tr>
      <w:tr w:rsidR="00BE6367" w14:paraId="6D04F245"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5BAF8BA6"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29</w:t>
            </w:r>
          </w:p>
        </w:tc>
        <w:tc>
          <w:tcPr>
            <w:tcW w:w="3249" w:type="dxa"/>
            <w:vMerge/>
            <w:tcBorders>
              <w:top w:val="nil"/>
              <w:left w:val="single" w:sz="8" w:space="0" w:color="000000"/>
              <w:bottom w:val="single" w:sz="8" w:space="0" w:color="000000"/>
              <w:right w:val="single" w:sz="8" w:space="0" w:color="000000"/>
            </w:tcBorders>
            <w:vAlign w:val="center"/>
          </w:tcPr>
          <w:p w14:paraId="788D4774" w14:textId="77777777" w:rsidR="00BE6367" w:rsidRDefault="00BE6367">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tc>
        <w:tc>
          <w:tcPr>
            <w:tcW w:w="1108" w:type="dxa"/>
            <w:tcBorders>
              <w:top w:val="nil"/>
              <w:left w:val="nil"/>
              <w:bottom w:val="single" w:sz="8" w:space="0" w:color="000000"/>
              <w:right w:val="single" w:sz="8" w:space="0" w:color="000000"/>
            </w:tcBorders>
            <w:vAlign w:val="center"/>
          </w:tcPr>
          <w:p w14:paraId="5EFB1969"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4</w:t>
            </w:r>
          </w:p>
        </w:tc>
        <w:tc>
          <w:tcPr>
            <w:tcW w:w="719" w:type="dxa"/>
            <w:tcBorders>
              <w:top w:val="nil"/>
              <w:left w:val="nil"/>
              <w:bottom w:val="single" w:sz="8" w:space="0" w:color="000000"/>
              <w:right w:val="nil"/>
            </w:tcBorders>
            <w:vAlign w:val="center"/>
          </w:tcPr>
          <w:p w14:paraId="620ABD1D" w14:textId="77777777" w:rsidR="00BE6367" w:rsidRDefault="00C90F6A">
            <w:pPr>
              <w:ind w:firstLine="440"/>
              <w:rPr>
                <w:rFonts w:ascii="Arial" w:eastAsia="Arial" w:hAnsi="Arial" w:cs="Arial"/>
                <w:color w:val="000000"/>
                <w:sz w:val="20"/>
                <w:szCs w:val="20"/>
              </w:rPr>
            </w:pPr>
            <w:r>
              <w:rPr>
                <w:rFonts w:ascii="Arial" w:eastAsia="Arial" w:hAnsi="Arial" w:cs="Arial"/>
                <w:color w:val="000000"/>
                <w:sz w:val="20"/>
                <w:szCs w:val="20"/>
              </w:rPr>
              <w:t>$</w:t>
            </w:r>
          </w:p>
        </w:tc>
        <w:tc>
          <w:tcPr>
            <w:tcW w:w="2692" w:type="dxa"/>
            <w:tcBorders>
              <w:top w:val="nil"/>
              <w:left w:val="nil"/>
              <w:bottom w:val="single" w:sz="8" w:space="0" w:color="000000"/>
              <w:right w:val="single" w:sz="8" w:space="0" w:color="000000"/>
            </w:tcBorders>
            <w:vAlign w:val="center"/>
          </w:tcPr>
          <w:p w14:paraId="5105F7EC" w14:textId="77777777" w:rsidR="00BE6367" w:rsidRDefault="00C90F6A">
            <w:pPr>
              <w:ind w:firstLine="1100"/>
              <w:rPr>
                <w:rFonts w:ascii="Arial" w:eastAsia="Arial" w:hAnsi="Arial" w:cs="Arial"/>
                <w:color w:val="000000"/>
                <w:sz w:val="20"/>
                <w:szCs w:val="20"/>
              </w:rPr>
            </w:pPr>
            <w:r>
              <w:rPr>
                <w:rFonts w:ascii="Arial" w:eastAsia="Arial" w:hAnsi="Arial" w:cs="Arial"/>
                <w:color w:val="000000"/>
                <w:sz w:val="20"/>
                <w:szCs w:val="20"/>
              </w:rPr>
              <w:t>1.154.511</w:t>
            </w:r>
          </w:p>
        </w:tc>
      </w:tr>
      <w:tr w:rsidR="00BE6367" w14:paraId="250026ED" w14:textId="77777777">
        <w:trPr>
          <w:trHeight w:val="300"/>
        </w:trPr>
        <w:tc>
          <w:tcPr>
            <w:tcW w:w="1050" w:type="dxa"/>
            <w:tcBorders>
              <w:top w:val="nil"/>
              <w:left w:val="single" w:sz="8" w:space="0" w:color="000000"/>
              <w:bottom w:val="nil"/>
              <w:right w:val="single" w:sz="8" w:space="0" w:color="000000"/>
            </w:tcBorders>
            <w:vAlign w:val="center"/>
          </w:tcPr>
          <w:p w14:paraId="71CF4397"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 </w:t>
            </w:r>
          </w:p>
        </w:tc>
        <w:tc>
          <w:tcPr>
            <w:tcW w:w="3249" w:type="dxa"/>
            <w:vMerge w:val="restart"/>
            <w:tcBorders>
              <w:top w:val="nil"/>
              <w:left w:val="single" w:sz="8" w:space="0" w:color="000000"/>
              <w:bottom w:val="single" w:sz="8" w:space="0" w:color="000000"/>
              <w:right w:val="single" w:sz="8" w:space="0" w:color="000000"/>
            </w:tcBorders>
            <w:vAlign w:val="center"/>
          </w:tcPr>
          <w:p w14:paraId="3760E1E1" w14:textId="77777777" w:rsidR="00BE6367" w:rsidRDefault="00C90F6A">
            <w:pPr>
              <w:ind w:firstLine="1760"/>
              <w:rPr>
                <w:rFonts w:ascii="Arial" w:eastAsia="Arial" w:hAnsi="Arial" w:cs="Arial"/>
                <w:color w:val="000000"/>
                <w:sz w:val="20"/>
                <w:szCs w:val="20"/>
              </w:rPr>
            </w:pPr>
            <w:r>
              <w:rPr>
                <w:rFonts w:ascii="Arial" w:eastAsia="Arial" w:hAnsi="Arial" w:cs="Arial"/>
                <w:color w:val="000000"/>
                <w:sz w:val="20"/>
                <w:szCs w:val="20"/>
              </w:rPr>
              <w:t>SERVIDOR DE SOFTWARE DE AUDIENCIAS</w:t>
            </w:r>
          </w:p>
        </w:tc>
        <w:tc>
          <w:tcPr>
            <w:tcW w:w="1108" w:type="dxa"/>
            <w:tcBorders>
              <w:top w:val="nil"/>
              <w:left w:val="nil"/>
              <w:bottom w:val="nil"/>
              <w:right w:val="single" w:sz="8" w:space="0" w:color="000000"/>
            </w:tcBorders>
            <w:vAlign w:val="center"/>
          </w:tcPr>
          <w:p w14:paraId="1AC64F7B"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 </w:t>
            </w:r>
          </w:p>
        </w:tc>
        <w:tc>
          <w:tcPr>
            <w:tcW w:w="719" w:type="dxa"/>
            <w:tcBorders>
              <w:top w:val="nil"/>
              <w:left w:val="nil"/>
              <w:bottom w:val="nil"/>
              <w:right w:val="nil"/>
            </w:tcBorders>
            <w:vAlign w:val="center"/>
          </w:tcPr>
          <w:p w14:paraId="44E3D3E3" w14:textId="77777777" w:rsidR="00BE6367" w:rsidRDefault="00BE6367">
            <w:pPr>
              <w:rPr>
                <w:rFonts w:ascii="Arial" w:eastAsia="Arial" w:hAnsi="Arial" w:cs="Arial"/>
                <w:color w:val="000000"/>
                <w:sz w:val="20"/>
                <w:szCs w:val="20"/>
              </w:rPr>
            </w:pPr>
          </w:p>
        </w:tc>
        <w:tc>
          <w:tcPr>
            <w:tcW w:w="2692" w:type="dxa"/>
            <w:tcBorders>
              <w:top w:val="nil"/>
              <w:left w:val="nil"/>
              <w:bottom w:val="nil"/>
              <w:right w:val="single" w:sz="8" w:space="0" w:color="000000"/>
            </w:tcBorders>
            <w:vAlign w:val="center"/>
          </w:tcPr>
          <w:p w14:paraId="734479C3"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 </w:t>
            </w:r>
          </w:p>
        </w:tc>
      </w:tr>
      <w:tr w:rsidR="00BE6367" w14:paraId="714428A5"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11E219F5"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49</w:t>
            </w:r>
          </w:p>
        </w:tc>
        <w:tc>
          <w:tcPr>
            <w:tcW w:w="3249" w:type="dxa"/>
            <w:vMerge/>
            <w:tcBorders>
              <w:top w:val="nil"/>
              <w:left w:val="single" w:sz="8" w:space="0" w:color="000000"/>
              <w:bottom w:val="single" w:sz="8" w:space="0" w:color="000000"/>
              <w:right w:val="single" w:sz="8" w:space="0" w:color="000000"/>
            </w:tcBorders>
            <w:vAlign w:val="center"/>
          </w:tcPr>
          <w:p w14:paraId="2A0A86E6" w14:textId="77777777" w:rsidR="00BE6367" w:rsidRDefault="00BE6367">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tc>
        <w:tc>
          <w:tcPr>
            <w:tcW w:w="1108" w:type="dxa"/>
            <w:tcBorders>
              <w:top w:val="nil"/>
              <w:left w:val="nil"/>
              <w:bottom w:val="single" w:sz="8" w:space="0" w:color="000000"/>
              <w:right w:val="single" w:sz="8" w:space="0" w:color="000000"/>
            </w:tcBorders>
            <w:vAlign w:val="center"/>
          </w:tcPr>
          <w:p w14:paraId="70E5F68D" w14:textId="77777777" w:rsidR="00BE6367" w:rsidRDefault="00C90F6A">
            <w:pPr>
              <w:rPr>
                <w:rFonts w:ascii="Arial" w:eastAsia="Arial" w:hAnsi="Arial" w:cs="Arial"/>
                <w:color w:val="000000"/>
                <w:sz w:val="20"/>
                <w:szCs w:val="20"/>
              </w:rPr>
            </w:pPr>
            <w:r>
              <w:rPr>
                <w:rFonts w:ascii="Arial" w:eastAsia="Arial" w:hAnsi="Arial" w:cs="Arial"/>
                <w:color w:val="000000"/>
                <w:sz w:val="20"/>
                <w:szCs w:val="20"/>
              </w:rPr>
              <w:t>1</w:t>
            </w:r>
          </w:p>
        </w:tc>
        <w:tc>
          <w:tcPr>
            <w:tcW w:w="719" w:type="dxa"/>
            <w:tcBorders>
              <w:top w:val="nil"/>
              <w:left w:val="nil"/>
              <w:bottom w:val="single" w:sz="8" w:space="0" w:color="000000"/>
              <w:right w:val="nil"/>
            </w:tcBorders>
            <w:vAlign w:val="center"/>
          </w:tcPr>
          <w:p w14:paraId="413066A0" w14:textId="77777777" w:rsidR="00BE6367" w:rsidRDefault="00C90F6A">
            <w:pPr>
              <w:ind w:firstLine="220"/>
              <w:rPr>
                <w:rFonts w:ascii="Arial" w:eastAsia="Arial" w:hAnsi="Arial" w:cs="Arial"/>
                <w:color w:val="000000"/>
                <w:sz w:val="20"/>
                <w:szCs w:val="20"/>
              </w:rPr>
            </w:pPr>
            <w:r>
              <w:rPr>
                <w:rFonts w:ascii="Arial" w:eastAsia="Arial" w:hAnsi="Arial" w:cs="Arial"/>
                <w:color w:val="000000"/>
                <w:sz w:val="20"/>
                <w:szCs w:val="20"/>
              </w:rPr>
              <w:t>$</w:t>
            </w:r>
          </w:p>
        </w:tc>
        <w:tc>
          <w:tcPr>
            <w:tcW w:w="2692" w:type="dxa"/>
            <w:tcBorders>
              <w:top w:val="nil"/>
              <w:left w:val="nil"/>
              <w:bottom w:val="single" w:sz="8" w:space="0" w:color="000000"/>
              <w:right w:val="single" w:sz="8" w:space="0" w:color="000000"/>
            </w:tcBorders>
            <w:vAlign w:val="center"/>
          </w:tcPr>
          <w:p w14:paraId="78DDD513" w14:textId="77777777" w:rsidR="00BE6367" w:rsidRDefault="00C90F6A">
            <w:pPr>
              <w:ind w:firstLine="880"/>
              <w:rPr>
                <w:rFonts w:ascii="Arial" w:eastAsia="Arial" w:hAnsi="Arial" w:cs="Arial"/>
                <w:color w:val="000000"/>
                <w:sz w:val="20"/>
                <w:szCs w:val="20"/>
              </w:rPr>
            </w:pPr>
            <w:r>
              <w:rPr>
                <w:rFonts w:ascii="Arial" w:eastAsia="Arial" w:hAnsi="Arial" w:cs="Arial"/>
                <w:color w:val="000000"/>
                <w:sz w:val="20"/>
                <w:szCs w:val="20"/>
              </w:rPr>
              <w:t>44.039.578</w:t>
            </w:r>
          </w:p>
        </w:tc>
      </w:tr>
    </w:tbl>
    <w:p w14:paraId="5ED82DC3" w14:textId="77777777" w:rsidR="00BE6367" w:rsidRDefault="00BE6367">
      <w:pPr>
        <w:spacing w:line="259" w:lineRule="auto"/>
        <w:jc w:val="both"/>
        <w:rPr>
          <w:rFonts w:ascii="Arial" w:eastAsia="Arial" w:hAnsi="Arial" w:cs="Arial"/>
          <w:sz w:val="20"/>
          <w:szCs w:val="20"/>
        </w:rPr>
      </w:pPr>
    </w:p>
    <w:p w14:paraId="26607A5E" w14:textId="77777777" w:rsidR="00BE6367" w:rsidRDefault="00C90F6A">
      <w:pPr>
        <w:spacing w:line="259" w:lineRule="auto"/>
        <w:jc w:val="both"/>
        <w:rPr>
          <w:rFonts w:ascii="Arial" w:eastAsia="Arial" w:hAnsi="Arial" w:cs="Arial"/>
          <w:b/>
          <w:bCs/>
          <w:sz w:val="20"/>
          <w:szCs w:val="20"/>
        </w:rPr>
      </w:pPr>
      <w:r>
        <w:rPr>
          <w:rFonts w:ascii="Arial" w:eastAsia="Arial" w:hAnsi="Arial" w:cs="Arial"/>
          <w:b/>
          <w:bCs/>
          <w:sz w:val="20"/>
          <w:szCs w:val="20"/>
        </w:rPr>
        <w:t>SEGUNDA OPERACIÓN:</w:t>
      </w:r>
    </w:p>
    <w:tbl>
      <w:tblPr>
        <w:tblStyle w:val="ac"/>
        <w:tblW w:w="8818" w:type="dxa"/>
        <w:tblInd w:w="0" w:type="dxa"/>
        <w:tblLayout w:type="fixed"/>
        <w:tblLook w:val="0400" w:firstRow="0" w:lastRow="0" w:firstColumn="0" w:lastColumn="0" w:noHBand="0" w:noVBand="1"/>
      </w:tblPr>
      <w:tblGrid>
        <w:gridCol w:w="1050"/>
        <w:gridCol w:w="3623"/>
        <w:gridCol w:w="1108"/>
        <w:gridCol w:w="713"/>
        <w:gridCol w:w="2324"/>
      </w:tblGrid>
      <w:tr w:rsidR="00BE6367" w14:paraId="0042A6C2" w14:textId="77777777">
        <w:trPr>
          <w:trHeight w:val="600"/>
        </w:trPr>
        <w:tc>
          <w:tcPr>
            <w:tcW w:w="1050" w:type="dxa"/>
            <w:tcBorders>
              <w:top w:val="single" w:sz="8" w:space="0" w:color="000000"/>
              <w:left w:val="single" w:sz="8" w:space="0" w:color="000000"/>
              <w:bottom w:val="single" w:sz="8" w:space="0" w:color="000000"/>
              <w:right w:val="single" w:sz="8" w:space="0" w:color="000000"/>
            </w:tcBorders>
            <w:vAlign w:val="center"/>
          </w:tcPr>
          <w:p w14:paraId="5E432A89" w14:textId="77777777" w:rsidR="00BE6367" w:rsidRDefault="00C90F6A">
            <w:pPr>
              <w:ind w:firstLine="442"/>
              <w:jc w:val="both"/>
              <w:rPr>
                <w:rFonts w:ascii="Arial" w:eastAsia="Arial" w:hAnsi="Arial" w:cs="Arial"/>
                <w:b/>
                <w:bCs/>
                <w:color w:val="000000"/>
                <w:sz w:val="20"/>
                <w:szCs w:val="20"/>
              </w:rPr>
            </w:pPr>
            <w:r>
              <w:rPr>
                <w:rFonts w:ascii="Arial" w:eastAsia="Arial" w:hAnsi="Arial" w:cs="Arial"/>
                <w:b/>
                <w:bCs/>
                <w:color w:val="000000"/>
                <w:sz w:val="20"/>
                <w:szCs w:val="20"/>
              </w:rPr>
              <w:t>ITEM</w:t>
            </w:r>
          </w:p>
        </w:tc>
        <w:tc>
          <w:tcPr>
            <w:tcW w:w="3623" w:type="dxa"/>
            <w:tcBorders>
              <w:top w:val="single" w:sz="8" w:space="0" w:color="000000"/>
              <w:left w:val="nil"/>
              <w:bottom w:val="single" w:sz="8" w:space="0" w:color="000000"/>
              <w:right w:val="single" w:sz="8" w:space="0" w:color="000000"/>
            </w:tcBorders>
            <w:vAlign w:val="center"/>
          </w:tcPr>
          <w:p w14:paraId="51C3A10F" w14:textId="77777777" w:rsidR="00BE6367" w:rsidRDefault="00C90F6A">
            <w:pPr>
              <w:jc w:val="both"/>
              <w:rPr>
                <w:rFonts w:ascii="Arial" w:eastAsia="Arial" w:hAnsi="Arial" w:cs="Arial"/>
                <w:b/>
                <w:bCs/>
                <w:color w:val="000000"/>
                <w:sz w:val="20"/>
                <w:szCs w:val="20"/>
              </w:rPr>
            </w:pPr>
            <w:r>
              <w:rPr>
                <w:rFonts w:ascii="Arial" w:eastAsia="Arial" w:hAnsi="Arial" w:cs="Arial"/>
                <w:b/>
                <w:bCs/>
                <w:color w:val="000000"/>
                <w:sz w:val="20"/>
                <w:szCs w:val="20"/>
              </w:rPr>
              <w:t>CONCEPTO</w:t>
            </w:r>
          </w:p>
        </w:tc>
        <w:tc>
          <w:tcPr>
            <w:tcW w:w="1108" w:type="dxa"/>
            <w:tcBorders>
              <w:top w:val="single" w:sz="8" w:space="0" w:color="000000"/>
              <w:left w:val="nil"/>
              <w:bottom w:val="single" w:sz="8" w:space="0" w:color="000000"/>
              <w:right w:val="single" w:sz="8" w:space="0" w:color="000000"/>
            </w:tcBorders>
            <w:vAlign w:val="center"/>
          </w:tcPr>
          <w:p w14:paraId="5906ADBD" w14:textId="77777777" w:rsidR="00BE6367" w:rsidRDefault="00C90F6A">
            <w:pPr>
              <w:jc w:val="both"/>
              <w:rPr>
                <w:rFonts w:ascii="Arial" w:eastAsia="Arial" w:hAnsi="Arial" w:cs="Arial"/>
                <w:b/>
                <w:bCs/>
                <w:color w:val="000000"/>
                <w:sz w:val="20"/>
                <w:szCs w:val="20"/>
              </w:rPr>
            </w:pPr>
            <w:r>
              <w:rPr>
                <w:rFonts w:ascii="Arial" w:eastAsia="Arial" w:hAnsi="Arial" w:cs="Arial"/>
                <w:b/>
                <w:bCs/>
                <w:color w:val="000000"/>
                <w:sz w:val="20"/>
                <w:szCs w:val="20"/>
              </w:rPr>
              <w:t>CANTIDAD</w:t>
            </w:r>
          </w:p>
        </w:tc>
        <w:tc>
          <w:tcPr>
            <w:tcW w:w="3037" w:type="dxa"/>
            <w:gridSpan w:val="2"/>
            <w:tcBorders>
              <w:top w:val="single" w:sz="8" w:space="0" w:color="000000"/>
              <w:left w:val="nil"/>
              <w:bottom w:val="single" w:sz="8" w:space="0" w:color="000000"/>
              <w:right w:val="single" w:sz="8" w:space="0" w:color="000000"/>
            </w:tcBorders>
            <w:vAlign w:val="center"/>
          </w:tcPr>
          <w:p w14:paraId="70441E13" w14:textId="77777777" w:rsidR="00BE6367" w:rsidRDefault="00C90F6A">
            <w:pPr>
              <w:ind w:firstLine="221"/>
              <w:jc w:val="both"/>
              <w:rPr>
                <w:rFonts w:ascii="Arial" w:eastAsia="Arial" w:hAnsi="Arial" w:cs="Arial"/>
                <w:b/>
                <w:bCs/>
                <w:color w:val="000000"/>
                <w:sz w:val="20"/>
                <w:szCs w:val="20"/>
              </w:rPr>
            </w:pPr>
            <w:r>
              <w:rPr>
                <w:rFonts w:ascii="Arial" w:eastAsia="Arial" w:hAnsi="Arial" w:cs="Arial"/>
                <w:b/>
                <w:bCs/>
                <w:color w:val="000000"/>
                <w:sz w:val="20"/>
                <w:szCs w:val="20"/>
              </w:rPr>
              <w:t>VALOR UNITARIO SIN IVA</w:t>
            </w:r>
          </w:p>
        </w:tc>
      </w:tr>
      <w:tr w:rsidR="00BE6367" w14:paraId="7E16C2B8"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18040AAA"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6</w:t>
            </w:r>
          </w:p>
        </w:tc>
        <w:tc>
          <w:tcPr>
            <w:tcW w:w="3623" w:type="dxa"/>
            <w:tcBorders>
              <w:top w:val="nil"/>
              <w:left w:val="nil"/>
              <w:bottom w:val="single" w:sz="8" w:space="0" w:color="000000"/>
              <w:right w:val="single" w:sz="8" w:space="0" w:color="000000"/>
            </w:tcBorders>
            <w:vAlign w:val="center"/>
          </w:tcPr>
          <w:p w14:paraId="6E19D959" w14:textId="77777777" w:rsidR="00BE6367" w:rsidRDefault="00C90F6A">
            <w:pPr>
              <w:ind w:firstLine="660"/>
              <w:jc w:val="both"/>
              <w:rPr>
                <w:rFonts w:ascii="Arial" w:eastAsia="Arial" w:hAnsi="Arial" w:cs="Arial"/>
                <w:color w:val="000000"/>
                <w:sz w:val="20"/>
                <w:szCs w:val="20"/>
              </w:rPr>
            </w:pPr>
            <w:r>
              <w:rPr>
                <w:rFonts w:ascii="Arial" w:eastAsia="Arial" w:hAnsi="Arial" w:cs="Arial"/>
                <w:color w:val="000000"/>
                <w:sz w:val="20"/>
                <w:szCs w:val="20"/>
              </w:rPr>
              <w:t>PANTALLA INTERACTIVA 65”</w:t>
            </w:r>
          </w:p>
        </w:tc>
        <w:tc>
          <w:tcPr>
            <w:tcW w:w="1108" w:type="dxa"/>
            <w:tcBorders>
              <w:top w:val="nil"/>
              <w:left w:val="nil"/>
              <w:bottom w:val="single" w:sz="8" w:space="0" w:color="000000"/>
              <w:right w:val="single" w:sz="8" w:space="0" w:color="000000"/>
            </w:tcBorders>
            <w:vAlign w:val="center"/>
          </w:tcPr>
          <w:p w14:paraId="70B41F60"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4</w:t>
            </w:r>
          </w:p>
        </w:tc>
        <w:tc>
          <w:tcPr>
            <w:tcW w:w="713" w:type="dxa"/>
            <w:tcBorders>
              <w:top w:val="nil"/>
              <w:left w:val="nil"/>
              <w:bottom w:val="single" w:sz="8" w:space="0" w:color="000000"/>
              <w:right w:val="nil"/>
            </w:tcBorders>
            <w:vAlign w:val="center"/>
          </w:tcPr>
          <w:p w14:paraId="49249571"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1B85FBBA" w14:textId="77777777" w:rsidR="00BE6367" w:rsidRDefault="00C90F6A">
            <w:pPr>
              <w:ind w:firstLine="1100"/>
              <w:jc w:val="both"/>
              <w:rPr>
                <w:rFonts w:ascii="Arial" w:eastAsia="Arial" w:hAnsi="Arial" w:cs="Arial"/>
                <w:color w:val="000000"/>
                <w:sz w:val="20"/>
                <w:szCs w:val="20"/>
              </w:rPr>
            </w:pPr>
            <w:r>
              <w:rPr>
                <w:rFonts w:ascii="Arial" w:eastAsia="Arial" w:hAnsi="Arial" w:cs="Arial"/>
                <w:color w:val="000000"/>
                <w:sz w:val="20"/>
                <w:szCs w:val="20"/>
              </w:rPr>
              <w:t>42.573.611</w:t>
            </w:r>
          </w:p>
        </w:tc>
      </w:tr>
      <w:tr w:rsidR="00BE6367" w14:paraId="344D542D" w14:textId="77777777">
        <w:trPr>
          <w:trHeight w:val="300"/>
        </w:trPr>
        <w:tc>
          <w:tcPr>
            <w:tcW w:w="1050" w:type="dxa"/>
            <w:tcBorders>
              <w:top w:val="nil"/>
              <w:left w:val="single" w:sz="8" w:space="0" w:color="000000"/>
              <w:bottom w:val="nil"/>
              <w:right w:val="single" w:sz="8" w:space="0" w:color="000000"/>
            </w:tcBorders>
            <w:vAlign w:val="center"/>
          </w:tcPr>
          <w:p w14:paraId="4A38F6DE"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3623" w:type="dxa"/>
            <w:tcBorders>
              <w:top w:val="nil"/>
              <w:left w:val="nil"/>
              <w:bottom w:val="nil"/>
              <w:right w:val="single" w:sz="8" w:space="0" w:color="000000"/>
            </w:tcBorders>
            <w:vAlign w:val="center"/>
          </w:tcPr>
          <w:p w14:paraId="06637D64"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PANTALLA INTERACTIVA 136” –</w:t>
            </w:r>
          </w:p>
        </w:tc>
        <w:tc>
          <w:tcPr>
            <w:tcW w:w="1108" w:type="dxa"/>
            <w:tcBorders>
              <w:top w:val="nil"/>
              <w:left w:val="nil"/>
              <w:bottom w:val="nil"/>
              <w:right w:val="single" w:sz="8" w:space="0" w:color="000000"/>
            </w:tcBorders>
            <w:vAlign w:val="center"/>
          </w:tcPr>
          <w:p w14:paraId="31CE1788"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713" w:type="dxa"/>
            <w:tcBorders>
              <w:top w:val="nil"/>
              <w:left w:val="nil"/>
              <w:bottom w:val="nil"/>
              <w:right w:val="nil"/>
            </w:tcBorders>
            <w:vAlign w:val="center"/>
          </w:tcPr>
          <w:p w14:paraId="4A698AB5" w14:textId="77777777" w:rsidR="00BE6367" w:rsidRDefault="00BE6367">
            <w:pPr>
              <w:jc w:val="both"/>
              <w:rPr>
                <w:rFonts w:ascii="Arial" w:eastAsia="Arial" w:hAnsi="Arial" w:cs="Arial"/>
                <w:color w:val="000000"/>
                <w:sz w:val="20"/>
                <w:szCs w:val="20"/>
              </w:rPr>
            </w:pPr>
          </w:p>
        </w:tc>
        <w:tc>
          <w:tcPr>
            <w:tcW w:w="2324" w:type="dxa"/>
            <w:tcBorders>
              <w:top w:val="nil"/>
              <w:left w:val="nil"/>
              <w:bottom w:val="nil"/>
              <w:right w:val="single" w:sz="8" w:space="0" w:color="000000"/>
            </w:tcBorders>
            <w:vAlign w:val="center"/>
          </w:tcPr>
          <w:p w14:paraId="4DFB1479"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r>
      <w:tr w:rsidR="00BE6367" w14:paraId="063C2D55"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15A3239C"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7</w:t>
            </w:r>
          </w:p>
        </w:tc>
        <w:tc>
          <w:tcPr>
            <w:tcW w:w="3623" w:type="dxa"/>
            <w:tcBorders>
              <w:top w:val="nil"/>
              <w:left w:val="nil"/>
              <w:bottom w:val="single" w:sz="8" w:space="0" w:color="000000"/>
              <w:right w:val="single" w:sz="8" w:space="0" w:color="000000"/>
            </w:tcBorders>
            <w:vAlign w:val="center"/>
          </w:tcPr>
          <w:p w14:paraId="2E99C24F"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TIPO PANEL LED PLEGABLE</w:t>
            </w:r>
          </w:p>
        </w:tc>
        <w:tc>
          <w:tcPr>
            <w:tcW w:w="1108" w:type="dxa"/>
            <w:tcBorders>
              <w:top w:val="nil"/>
              <w:left w:val="nil"/>
              <w:bottom w:val="single" w:sz="8" w:space="0" w:color="000000"/>
              <w:right w:val="single" w:sz="8" w:space="0" w:color="000000"/>
            </w:tcBorders>
            <w:vAlign w:val="center"/>
          </w:tcPr>
          <w:p w14:paraId="5BC011BC"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w:t>
            </w:r>
          </w:p>
        </w:tc>
        <w:tc>
          <w:tcPr>
            <w:tcW w:w="713" w:type="dxa"/>
            <w:tcBorders>
              <w:top w:val="nil"/>
              <w:left w:val="nil"/>
              <w:bottom w:val="single" w:sz="8" w:space="0" w:color="000000"/>
              <w:right w:val="nil"/>
            </w:tcBorders>
            <w:vAlign w:val="center"/>
          </w:tcPr>
          <w:p w14:paraId="72754C9C"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1908EB6B"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194.922.310</w:t>
            </w:r>
          </w:p>
        </w:tc>
      </w:tr>
      <w:tr w:rsidR="00BE6367" w14:paraId="229B2902" w14:textId="77777777">
        <w:trPr>
          <w:trHeight w:val="1785"/>
        </w:trPr>
        <w:tc>
          <w:tcPr>
            <w:tcW w:w="1050" w:type="dxa"/>
            <w:tcBorders>
              <w:top w:val="nil"/>
              <w:left w:val="single" w:sz="8" w:space="0" w:color="000000"/>
              <w:bottom w:val="nil"/>
              <w:right w:val="single" w:sz="8" w:space="0" w:color="000000"/>
            </w:tcBorders>
            <w:vAlign w:val="center"/>
          </w:tcPr>
          <w:p w14:paraId="4DA3D7F7"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3623" w:type="dxa"/>
            <w:vMerge w:val="restart"/>
            <w:tcBorders>
              <w:top w:val="nil"/>
              <w:left w:val="single" w:sz="8" w:space="0" w:color="000000"/>
              <w:bottom w:val="single" w:sz="8" w:space="0" w:color="000000"/>
              <w:right w:val="single" w:sz="8" w:space="0" w:color="000000"/>
            </w:tcBorders>
            <w:vAlign w:val="center"/>
          </w:tcPr>
          <w:p w14:paraId="21A10084"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SOPORTE PARA MONTAJE DE PANTALLA INTERACTIVA</w:t>
            </w:r>
          </w:p>
        </w:tc>
        <w:tc>
          <w:tcPr>
            <w:tcW w:w="1108" w:type="dxa"/>
            <w:tcBorders>
              <w:top w:val="nil"/>
              <w:left w:val="nil"/>
              <w:bottom w:val="nil"/>
              <w:right w:val="single" w:sz="8" w:space="0" w:color="000000"/>
            </w:tcBorders>
            <w:vAlign w:val="center"/>
          </w:tcPr>
          <w:p w14:paraId="389D7D01"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713" w:type="dxa"/>
            <w:tcBorders>
              <w:top w:val="nil"/>
              <w:left w:val="nil"/>
              <w:bottom w:val="nil"/>
              <w:right w:val="nil"/>
            </w:tcBorders>
            <w:vAlign w:val="center"/>
          </w:tcPr>
          <w:p w14:paraId="0CD159EC" w14:textId="77777777" w:rsidR="00BE6367" w:rsidRDefault="00BE6367">
            <w:pPr>
              <w:jc w:val="both"/>
              <w:rPr>
                <w:rFonts w:ascii="Arial" w:eastAsia="Arial" w:hAnsi="Arial" w:cs="Arial"/>
                <w:color w:val="000000"/>
                <w:sz w:val="20"/>
                <w:szCs w:val="20"/>
              </w:rPr>
            </w:pPr>
          </w:p>
        </w:tc>
        <w:tc>
          <w:tcPr>
            <w:tcW w:w="2324" w:type="dxa"/>
            <w:tcBorders>
              <w:top w:val="nil"/>
              <w:left w:val="nil"/>
              <w:bottom w:val="nil"/>
              <w:right w:val="single" w:sz="8" w:space="0" w:color="000000"/>
            </w:tcBorders>
            <w:vAlign w:val="center"/>
          </w:tcPr>
          <w:p w14:paraId="56735BF2"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r>
      <w:tr w:rsidR="00BE6367" w14:paraId="238EAF5F"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35810041"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8</w:t>
            </w:r>
          </w:p>
        </w:tc>
        <w:tc>
          <w:tcPr>
            <w:tcW w:w="3623" w:type="dxa"/>
            <w:vMerge/>
            <w:tcBorders>
              <w:top w:val="nil"/>
              <w:left w:val="single" w:sz="8" w:space="0" w:color="000000"/>
              <w:bottom w:val="single" w:sz="8" w:space="0" w:color="000000"/>
              <w:right w:val="single" w:sz="8" w:space="0" w:color="000000"/>
            </w:tcBorders>
            <w:vAlign w:val="center"/>
          </w:tcPr>
          <w:p w14:paraId="30F37EE1" w14:textId="77777777" w:rsidR="00BE6367" w:rsidRDefault="00BE6367">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tc>
        <w:tc>
          <w:tcPr>
            <w:tcW w:w="1108" w:type="dxa"/>
            <w:tcBorders>
              <w:top w:val="nil"/>
              <w:left w:val="nil"/>
              <w:bottom w:val="single" w:sz="8" w:space="0" w:color="000000"/>
              <w:right w:val="single" w:sz="8" w:space="0" w:color="000000"/>
            </w:tcBorders>
            <w:vAlign w:val="center"/>
          </w:tcPr>
          <w:p w14:paraId="0857393C"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4</w:t>
            </w:r>
          </w:p>
        </w:tc>
        <w:tc>
          <w:tcPr>
            <w:tcW w:w="713" w:type="dxa"/>
            <w:tcBorders>
              <w:top w:val="nil"/>
              <w:left w:val="nil"/>
              <w:bottom w:val="single" w:sz="8" w:space="0" w:color="000000"/>
              <w:right w:val="nil"/>
            </w:tcBorders>
            <w:vAlign w:val="center"/>
          </w:tcPr>
          <w:p w14:paraId="153B6ED1" w14:textId="77777777" w:rsidR="00BE6367" w:rsidRDefault="00C90F6A">
            <w:pPr>
              <w:ind w:firstLine="44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24170E5C" w14:textId="77777777" w:rsidR="00BE6367" w:rsidRDefault="00C90F6A">
            <w:pPr>
              <w:ind w:firstLine="1100"/>
              <w:jc w:val="both"/>
              <w:rPr>
                <w:rFonts w:ascii="Arial" w:eastAsia="Arial" w:hAnsi="Arial" w:cs="Arial"/>
                <w:color w:val="000000"/>
                <w:sz w:val="20"/>
                <w:szCs w:val="20"/>
              </w:rPr>
            </w:pPr>
            <w:r>
              <w:rPr>
                <w:rFonts w:ascii="Arial" w:eastAsia="Arial" w:hAnsi="Arial" w:cs="Arial"/>
                <w:color w:val="000000"/>
                <w:sz w:val="20"/>
                <w:szCs w:val="20"/>
              </w:rPr>
              <w:t>2.309.022</w:t>
            </w:r>
          </w:p>
        </w:tc>
      </w:tr>
      <w:tr w:rsidR="00BE6367" w14:paraId="48657B66"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33EAA215"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15</w:t>
            </w:r>
          </w:p>
        </w:tc>
        <w:tc>
          <w:tcPr>
            <w:tcW w:w="3623" w:type="dxa"/>
            <w:tcBorders>
              <w:top w:val="nil"/>
              <w:left w:val="nil"/>
              <w:bottom w:val="single" w:sz="8" w:space="0" w:color="000000"/>
              <w:right w:val="single" w:sz="8" w:space="0" w:color="000000"/>
            </w:tcBorders>
            <w:vAlign w:val="center"/>
          </w:tcPr>
          <w:p w14:paraId="4B58DFE9"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CODIFICADOR DE VIDEO</w:t>
            </w:r>
          </w:p>
        </w:tc>
        <w:tc>
          <w:tcPr>
            <w:tcW w:w="1108" w:type="dxa"/>
            <w:tcBorders>
              <w:top w:val="nil"/>
              <w:left w:val="nil"/>
              <w:bottom w:val="single" w:sz="8" w:space="0" w:color="000000"/>
              <w:right w:val="single" w:sz="8" w:space="0" w:color="000000"/>
            </w:tcBorders>
            <w:vAlign w:val="center"/>
          </w:tcPr>
          <w:p w14:paraId="2B92D725"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2</w:t>
            </w:r>
          </w:p>
        </w:tc>
        <w:tc>
          <w:tcPr>
            <w:tcW w:w="713" w:type="dxa"/>
            <w:tcBorders>
              <w:top w:val="nil"/>
              <w:left w:val="nil"/>
              <w:bottom w:val="single" w:sz="8" w:space="0" w:color="000000"/>
              <w:right w:val="nil"/>
            </w:tcBorders>
            <w:vAlign w:val="center"/>
          </w:tcPr>
          <w:p w14:paraId="3B5476B1" w14:textId="77777777" w:rsidR="00BE6367" w:rsidRDefault="00C90F6A">
            <w:pPr>
              <w:ind w:firstLine="44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325A2C62" w14:textId="77777777" w:rsidR="00BE6367" w:rsidRDefault="00C90F6A">
            <w:pPr>
              <w:ind w:firstLine="1100"/>
              <w:jc w:val="both"/>
              <w:rPr>
                <w:rFonts w:ascii="Arial" w:eastAsia="Arial" w:hAnsi="Arial" w:cs="Arial"/>
                <w:color w:val="000000"/>
                <w:sz w:val="20"/>
                <w:szCs w:val="20"/>
              </w:rPr>
            </w:pPr>
            <w:r>
              <w:rPr>
                <w:rFonts w:ascii="Arial" w:eastAsia="Arial" w:hAnsi="Arial" w:cs="Arial"/>
                <w:color w:val="000000"/>
                <w:sz w:val="20"/>
                <w:szCs w:val="20"/>
              </w:rPr>
              <w:t>4.969.734</w:t>
            </w:r>
          </w:p>
        </w:tc>
      </w:tr>
      <w:tr w:rsidR="00BE6367" w14:paraId="304D9BCA" w14:textId="77777777">
        <w:trPr>
          <w:trHeight w:val="600"/>
        </w:trPr>
        <w:tc>
          <w:tcPr>
            <w:tcW w:w="1050" w:type="dxa"/>
            <w:tcBorders>
              <w:top w:val="nil"/>
              <w:left w:val="single" w:sz="8" w:space="0" w:color="000000"/>
              <w:bottom w:val="nil"/>
              <w:right w:val="single" w:sz="8" w:space="0" w:color="000000"/>
            </w:tcBorders>
            <w:vAlign w:val="center"/>
          </w:tcPr>
          <w:p w14:paraId="783BE30D"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3623" w:type="dxa"/>
            <w:tcBorders>
              <w:top w:val="nil"/>
              <w:left w:val="nil"/>
              <w:bottom w:val="nil"/>
              <w:right w:val="single" w:sz="8" w:space="0" w:color="000000"/>
            </w:tcBorders>
            <w:vAlign w:val="center"/>
          </w:tcPr>
          <w:p w14:paraId="2C825240"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AERONAVE NO TRIPULADA – RPAS –</w:t>
            </w:r>
          </w:p>
        </w:tc>
        <w:tc>
          <w:tcPr>
            <w:tcW w:w="1108" w:type="dxa"/>
            <w:tcBorders>
              <w:top w:val="nil"/>
              <w:left w:val="nil"/>
              <w:bottom w:val="nil"/>
              <w:right w:val="single" w:sz="8" w:space="0" w:color="000000"/>
            </w:tcBorders>
            <w:vAlign w:val="center"/>
          </w:tcPr>
          <w:p w14:paraId="1E9A23B7"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713" w:type="dxa"/>
            <w:tcBorders>
              <w:top w:val="nil"/>
              <w:left w:val="nil"/>
              <w:bottom w:val="nil"/>
              <w:right w:val="nil"/>
            </w:tcBorders>
            <w:vAlign w:val="center"/>
          </w:tcPr>
          <w:p w14:paraId="1A58DB61" w14:textId="77777777" w:rsidR="00BE6367" w:rsidRDefault="00BE6367">
            <w:pPr>
              <w:jc w:val="both"/>
              <w:rPr>
                <w:rFonts w:ascii="Arial" w:eastAsia="Arial" w:hAnsi="Arial" w:cs="Arial"/>
                <w:color w:val="000000"/>
                <w:sz w:val="20"/>
                <w:szCs w:val="20"/>
              </w:rPr>
            </w:pPr>
          </w:p>
        </w:tc>
        <w:tc>
          <w:tcPr>
            <w:tcW w:w="2324" w:type="dxa"/>
            <w:tcBorders>
              <w:top w:val="nil"/>
              <w:left w:val="nil"/>
              <w:bottom w:val="nil"/>
              <w:right w:val="single" w:sz="8" w:space="0" w:color="000000"/>
            </w:tcBorders>
            <w:vAlign w:val="center"/>
          </w:tcPr>
          <w:p w14:paraId="5DE4DF0B"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r>
      <w:tr w:rsidR="00BE6367" w14:paraId="78DEA293"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2C5E525A"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16</w:t>
            </w:r>
          </w:p>
        </w:tc>
        <w:tc>
          <w:tcPr>
            <w:tcW w:w="3623" w:type="dxa"/>
            <w:tcBorders>
              <w:top w:val="nil"/>
              <w:left w:val="nil"/>
              <w:bottom w:val="single" w:sz="8" w:space="0" w:color="000000"/>
              <w:right w:val="single" w:sz="8" w:space="0" w:color="000000"/>
            </w:tcBorders>
            <w:vAlign w:val="center"/>
          </w:tcPr>
          <w:p w14:paraId="398A027D"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UAS. (DRON)</w:t>
            </w:r>
          </w:p>
        </w:tc>
        <w:tc>
          <w:tcPr>
            <w:tcW w:w="1108" w:type="dxa"/>
            <w:tcBorders>
              <w:top w:val="nil"/>
              <w:left w:val="nil"/>
              <w:bottom w:val="single" w:sz="8" w:space="0" w:color="000000"/>
              <w:right w:val="single" w:sz="8" w:space="0" w:color="000000"/>
            </w:tcBorders>
            <w:vAlign w:val="center"/>
          </w:tcPr>
          <w:p w14:paraId="7E8E4D4C"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w:t>
            </w:r>
          </w:p>
        </w:tc>
        <w:tc>
          <w:tcPr>
            <w:tcW w:w="713" w:type="dxa"/>
            <w:tcBorders>
              <w:top w:val="nil"/>
              <w:left w:val="nil"/>
              <w:bottom w:val="single" w:sz="8" w:space="0" w:color="000000"/>
              <w:right w:val="nil"/>
            </w:tcBorders>
            <w:vAlign w:val="center"/>
          </w:tcPr>
          <w:p w14:paraId="34385F49"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71AC44F7" w14:textId="77777777" w:rsidR="00BE6367" w:rsidRDefault="00C90F6A">
            <w:pPr>
              <w:ind w:firstLine="1100"/>
              <w:jc w:val="both"/>
              <w:rPr>
                <w:rFonts w:ascii="Arial" w:eastAsia="Arial" w:hAnsi="Arial" w:cs="Arial"/>
                <w:color w:val="000000"/>
                <w:sz w:val="20"/>
                <w:szCs w:val="20"/>
              </w:rPr>
            </w:pPr>
            <w:r>
              <w:rPr>
                <w:rFonts w:ascii="Arial" w:eastAsia="Arial" w:hAnsi="Arial" w:cs="Arial"/>
                <w:color w:val="000000"/>
                <w:sz w:val="20"/>
                <w:szCs w:val="20"/>
              </w:rPr>
              <w:t>36.364.215</w:t>
            </w:r>
          </w:p>
        </w:tc>
      </w:tr>
      <w:tr w:rsidR="00BE6367" w14:paraId="03839FC0"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100FE282"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17</w:t>
            </w:r>
          </w:p>
        </w:tc>
        <w:tc>
          <w:tcPr>
            <w:tcW w:w="3623" w:type="dxa"/>
            <w:tcBorders>
              <w:top w:val="nil"/>
              <w:left w:val="nil"/>
              <w:bottom w:val="single" w:sz="8" w:space="0" w:color="000000"/>
              <w:right w:val="single" w:sz="8" w:space="0" w:color="000000"/>
            </w:tcBorders>
            <w:vAlign w:val="center"/>
          </w:tcPr>
          <w:p w14:paraId="4C714781" w14:textId="77777777" w:rsidR="00BE6367" w:rsidRDefault="00C90F6A">
            <w:pPr>
              <w:ind w:firstLine="660"/>
              <w:jc w:val="both"/>
              <w:rPr>
                <w:rFonts w:ascii="Arial" w:eastAsia="Arial" w:hAnsi="Arial" w:cs="Arial"/>
                <w:color w:val="000000"/>
                <w:sz w:val="20"/>
                <w:szCs w:val="20"/>
              </w:rPr>
            </w:pPr>
            <w:r>
              <w:rPr>
                <w:rFonts w:ascii="Arial" w:eastAsia="Arial" w:hAnsi="Arial" w:cs="Arial"/>
                <w:color w:val="000000"/>
                <w:sz w:val="20"/>
                <w:szCs w:val="20"/>
              </w:rPr>
              <w:t>ESTABILIZADOR DE IMAGEN</w:t>
            </w:r>
          </w:p>
        </w:tc>
        <w:tc>
          <w:tcPr>
            <w:tcW w:w="1108" w:type="dxa"/>
            <w:tcBorders>
              <w:top w:val="nil"/>
              <w:left w:val="nil"/>
              <w:bottom w:val="single" w:sz="8" w:space="0" w:color="000000"/>
              <w:right w:val="single" w:sz="8" w:space="0" w:color="000000"/>
            </w:tcBorders>
            <w:vAlign w:val="center"/>
          </w:tcPr>
          <w:p w14:paraId="30D0F522"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2</w:t>
            </w:r>
          </w:p>
        </w:tc>
        <w:tc>
          <w:tcPr>
            <w:tcW w:w="713" w:type="dxa"/>
            <w:tcBorders>
              <w:top w:val="nil"/>
              <w:left w:val="nil"/>
              <w:bottom w:val="single" w:sz="8" w:space="0" w:color="000000"/>
              <w:right w:val="nil"/>
            </w:tcBorders>
            <w:vAlign w:val="center"/>
          </w:tcPr>
          <w:p w14:paraId="5B58E7F3"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7CC743DE" w14:textId="77777777" w:rsidR="00BE6367" w:rsidRDefault="00C90F6A">
            <w:pPr>
              <w:ind w:firstLine="1100"/>
              <w:jc w:val="both"/>
              <w:rPr>
                <w:rFonts w:ascii="Arial" w:eastAsia="Arial" w:hAnsi="Arial" w:cs="Arial"/>
                <w:color w:val="000000"/>
                <w:sz w:val="20"/>
                <w:szCs w:val="20"/>
              </w:rPr>
            </w:pPr>
            <w:r>
              <w:rPr>
                <w:rFonts w:ascii="Arial" w:eastAsia="Arial" w:hAnsi="Arial" w:cs="Arial"/>
                <w:color w:val="000000"/>
                <w:sz w:val="20"/>
                <w:szCs w:val="20"/>
              </w:rPr>
              <w:t>10.914.496</w:t>
            </w:r>
          </w:p>
        </w:tc>
      </w:tr>
      <w:tr w:rsidR="00BE6367" w14:paraId="71CC0B9E"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6B944537"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18</w:t>
            </w:r>
          </w:p>
        </w:tc>
        <w:tc>
          <w:tcPr>
            <w:tcW w:w="3623" w:type="dxa"/>
            <w:tcBorders>
              <w:top w:val="nil"/>
              <w:left w:val="nil"/>
              <w:bottom w:val="single" w:sz="8" w:space="0" w:color="000000"/>
              <w:right w:val="single" w:sz="8" w:space="0" w:color="000000"/>
            </w:tcBorders>
            <w:vAlign w:val="center"/>
          </w:tcPr>
          <w:p w14:paraId="32303F39"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CÁMARA PROFESIONAL</w:t>
            </w:r>
          </w:p>
        </w:tc>
        <w:tc>
          <w:tcPr>
            <w:tcW w:w="1108" w:type="dxa"/>
            <w:tcBorders>
              <w:top w:val="nil"/>
              <w:left w:val="nil"/>
              <w:bottom w:val="single" w:sz="8" w:space="0" w:color="000000"/>
              <w:right w:val="single" w:sz="8" w:space="0" w:color="000000"/>
            </w:tcBorders>
            <w:vAlign w:val="center"/>
          </w:tcPr>
          <w:p w14:paraId="7FF64B70"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6</w:t>
            </w:r>
          </w:p>
        </w:tc>
        <w:tc>
          <w:tcPr>
            <w:tcW w:w="713" w:type="dxa"/>
            <w:tcBorders>
              <w:top w:val="nil"/>
              <w:left w:val="nil"/>
              <w:bottom w:val="single" w:sz="8" w:space="0" w:color="000000"/>
              <w:right w:val="nil"/>
            </w:tcBorders>
            <w:vAlign w:val="center"/>
          </w:tcPr>
          <w:p w14:paraId="26B910CF"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24C69843" w14:textId="77777777" w:rsidR="00BE6367" w:rsidRDefault="00C90F6A">
            <w:pPr>
              <w:ind w:firstLine="1100"/>
              <w:jc w:val="both"/>
              <w:rPr>
                <w:rFonts w:ascii="Arial" w:eastAsia="Arial" w:hAnsi="Arial" w:cs="Arial"/>
                <w:color w:val="000000"/>
                <w:sz w:val="20"/>
                <w:szCs w:val="20"/>
              </w:rPr>
            </w:pPr>
            <w:r>
              <w:rPr>
                <w:rFonts w:ascii="Arial" w:eastAsia="Arial" w:hAnsi="Arial" w:cs="Arial"/>
                <w:color w:val="000000"/>
                <w:sz w:val="20"/>
                <w:szCs w:val="20"/>
              </w:rPr>
              <w:t>25.952.247</w:t>
            </w:r>
          </w:p>
        </w:tc>
      </w:tr>
      <w:tr w:rsidR="00BE6367" w:rsidRPr="00AA7016" w14:paraId="31441DF9" w14:textId="77777777">
        <w:trPr>
          <w:trHeight w:val="585"/>
        </w:trPr>
        <w:tc>
          <w:tcPr>
            <w:tcW w:w="1050" w:type="dxa"/>
            <w:tcBorders>
              <w:top w:val="nil"/>
              <w:left w:val="single" w:sz="8" w:space="0" w:color="000000"/>
              <w:bottom w:val="nil"/>
              <w:right w:val="single" w:sz="8" w:space="0" w:color="000000"/>
            </w:tcBorders>
            <w:vAlign w:val="center"/>
          </w:tcPr>
          <w:p w14:paraId="3BE69EF7"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3623" w:type="dxa"/>
            <w:vMerge w:val="restart"/>
            <w:tcBorders>
              <w:top w:val="nil"/>
              <w:left w:val="single" w:sz="8" w:space="0" w:color="000000"/>
              <w:bottom w:val="single" w:sz="8" w:space="0" w:color="000000"/>
              <w:right w:val="single" w:sz="8" w:space="0" w:color="000000"/>
            </w:tcBorders>
            <w:vAlign w:val="center"/>
          </w:tcPr>
          <w:p w14:paraId="196D393B" w14:textId="77777777" w:rsidR="00BE6367" w:rsidRPr="00AA7016" w:rsidRDefault="00C90F6A">
            <w:pPr>
              <w:jc w:val="both"/>
              <w:rPr>
                <w:rFonts w:ascii="Arial" w:eastAsia="Arial" w:hAnsi="Arial" w:cs="Arial"/>
                <w:color w:val="000000"/>
                <w:sz w:val="20"/>
                <w:szCs w:val="20"/>
                <w:lang w:val="pt-PT"/>
              </w:rPr>
            </w:pPr>
            <w:r w:rsidRPr="00AA7016">
              <w:rPr>
                <w:rFonts w:ascii="Arial" w:eastAsia="Arial" w:hAnsi="Arial" w:cs="Arial"/>
                <w:color w:val="000000"/>
                <w:sz w:val="20"/>
                <w:szCs w:val="20"/>
                <w:lang w:val="pt-PT"/>
              </w:rPr>
              <w:t>LENTES FULL FRAME RANGO APERTURA 2,8-22 DISTANCIA FOCAL 16-25 MM</w:t>
            </w:r>
          </w:p>
        </w:tc>
        <w:tc>
          <w:tcPr>
            <w:tcW w:w="1108" w:type="dxa"/>
            <w:tcBorders>
              <w:top w:val="nil"/>
              <w:left w:val="nil"/>
              <w:bottom w:val="nil"/>
              <w:right w:val="single" w:sz="8" w:space="0" w:color="000000"/>
            </w:tcBorders>
            <w:vAlign w:val="center"/>
          </w:tcPr>
          <w:p w14:paraId="0E395B90" w14:textId="77777777" w:rsidR="00BE6367" w:rsidRPr="00AA7016" w:rsidRDefault="00C90F6A">
            <w:pPr>
              <w:jc w:val="both"/>
              <w:rPr>
                <w:rFonts w:ascii="Arial" w:eastAsia="Arial" w:hAnsi="Arial" w:cs="Arial"/>
                <w:color w:val="000000"/>
                <w:sz w:val="20"/>
                <w:szCs w:val="20"/>
                <w:lang w:val="pt-PT"/>
              </w:rPr>
            </w:pPr>
            <w:r w:rsidRPr="00AA7016">
              <w:rPr>
                <w:rFonts w:ascii="Arial" w:eastAsia="Arial" w:hAnsi="Arial" w:cs="Arial"/>
                <w:color w:val="000000"/>
                <w:sz w:val="20"/>
                <w:szCs w:val="20"/>
                <w:lang w:val="pt-PT"/>
              </w:rPr>
              <w:t> </w:t>
            </w:r>
          </w:p>
        </w:tc>
        <w:tc>
          <w:tcPr>
            <w:tcW w:w="713" w:type="dxa"/>
            <w:tcBorders>
              <w:top w:val="nil"/>
              <w:left w:val="nil"/>
              <w:bottom w:val="nil"/>
              <w:right w:val="nil"/>
            </w:tcBorders>
            <w:vAlign w:val="center"/>
          </w:tcPr>
          <w:p w14:paraId="497A4F98" w14:textId="77777777" w:rsidR="00BE6367" w:rsidRPr="00AA7016" w:rsidRDefault="00C90F6A">
            <w:pPr>
              <w:jc w:val="both"/>
              <w:rPr>
                <w:rFonts w:ascii="Arial" w:eastAsia="Arial" w:hAnsi="Arial" w:cs="Arial"/>
                <w:color w:val="000000"/>
                <w:sz w:val="20"/>
                <w:szCs w:val="20"/>
                <w:lang w:val="pt-PT"/>
              </w:rPr>
            </w:pPr>
            <w:r w:rsidRPr="00AA7016">
              <w:rPr>
                <w:rFonts w:ascii="Arial" w:eastAsia="Arial" w:hAnsi="Arial" w:cs="Arial"/>
                <w:color w:val="000000"/>
                <w:sz w:val="20"/>
                <w:szCs w:val="20"/>
                <w:lang w:val="pt-PT"/>
              </w:rPr>
              <w:t> </w:t>
            </w:r>
          </w:p>
        </w:tc>
        <w:tc>
          <w:tcPr>
            <w:tcW w:w="2324" w:type="dxa"/>
            <w:tcBorders>
              <w:top w:val="nil"/>
              <w:left w:val="nil"/>
              <w:bottom w:val="nil"/>
              <w:right w:val="single" w:sz="8" w:space="0" w:color="000000"/>
            </w:tcBorders>
            <w:vAlign w:val="center"/>
          </w:tcPr>
          <w:p w14:paraId="744C6178" w14:textId="77777777" w:rsidR="00BE6367" w:rsidRPr="00AA7016" w:rsidRDefault="00C90F6A">
            <w:pPr>
              <w:jc w:val="both"/>
              <w:rPr>
                <w:rFonts w:ascii="Arial" w:eastAsia="Arial" w:hAnsi="Arial" w:cs="Arial"/>
                <w:color w:val="000000"/>
                <w:sz w:val="20"/>
                <w:szCs w:val="20"/>
                <w:lang w:val="pt-PT"/>
              </w:rPr>
            </w:pPr>
            <w:r w:rsidRPr="00AA7016">
              <w:rPr>
                <w:rFonts w:ascii="Arial" w:eastAsia="Arial" w:hAnsi="Arial" w:cs="Arial"/>
                <w:color w:val="000000"/>
                <w:sz w:val="20"/>
                <w:szCs w:val="20"/>
                <w:lang w:val="pt-PT"/>
              </w:rPr>
              <w:t> </w:t>
            </w:r>
          </w:p>
        </w:tc>
      </w:tr>
      <w:tr w:rsidR="00BE6367" w14:paraId="24FFDFC8"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1D3EAA28"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19</w:t>
            </w:r>
          </w:p>
        </w:tc>
        <w:tc>
          <w:tcPr>
            <w:tcW w:w="3623" w:type="dxa"/>
            <w:vMerge/>
            <w:tcBorders>
              <w:top w:val="nil"/>
              <w:left w:val="single" w:sz="8" w:space="0" w:color="000000"/>
              <w:bottom w:val="single" w:sz="8" w:space="0" w:color="000000"/>
              <w:right w:val="single" w:sz="8" w:space="0" w:color="000000"/>
            </w:tcBorders>
            <w:vAlign w:val="center"/>
          </w:tcPr>
          <w:p w14:paraId="08128C10" w14:textId="77777777" w:rsidR="00BE6367" w:rsidRDefault="00BE6367">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tc>
        <w:tc>
          <w:tcPr>
            <w:tcW w:w="1108" w:type="dxa"/>
            <w:tcBorders>
              <w:top w:val="nil"/>
              <w:left w:val="nil"/>
              <w:bottom w:val="single" w:sz="8" w:space="0" w:color="000000"/>
              <w:right w:val="single" w:sz="8" w:space="0" w:color="000000"/>
            </w:tcBorders>
            <w:vAlign w:val="center"/>
          </w:tcPr>
          <w:p w14:paraId="4A93F8E2"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6</w:t>
            </w:r>
          </w:p>
        </w:tc>
        <w:tc>
          <w:tcPr>
            <w:tcW w:w="713" w:type="dxa"/>
            <w:tcBorders>
              <w:top w:val="nil"/>
              <w:left w:val="nil"/>
              <w:bottom w:val="single" w:sz="8" w:space="0" w:color="000000"/>
              <w:right w:val="nil"/>
            </w:tcBorders>
            <w:vAlign w:val="center"/>
          </w:tcPr>
          <w:p w14:paraId="29BFE359"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4181A0BA"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13.854.134</w:t>
            </w:r>
          </w:p>
        </w:tc>
      </w:tr>
      <w:tr w:rsidR="00BE6367" w:rsidRPr="00AA7016" w14:paraId="26E560A1" w14:textId="77777777">
        <w:trPr>
          <w:trHeight w:val="585"/>
        </w:trPr>
        <w:tc>
          <w:tcPr>
            <w:tcW w:w="1050" w:type="dxa"/>
            <w:tcBorders>
              <w:top w:val="nil"/>
              <w:left w:val="single" w:sz="8" w:space="0" w:color="000000"/>
              <w:bottom w:val="nil"/>
              <w:right w:val="single" w:sz="8" w:space="0" w:color="000000"/>
            </w:tcBorders>
            <w:vAlign w:val="center"/>
          </w:tcPr>
          <w:p w14:paraId="0738B7D4"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3623" w:type="dxa"/>
            <w:vMerge w:val="restart"/>
            <w:tcBorders>
              <w:top w:val="nil"/>
              <w:left w:val="single" w:sz="8" w:space="0" w:color="000000"/>
              <w:bottom w:val="single" w:sz="8" w:space="0" w:color="000000"/>
              <w:right w:val="single" w:sz="8" w:space="0" w:color="000000"/>
            </w:tcBorders>
            <w:vAlign w:val="center"/>
          </w:tcPr>
          <w:p w14:paraId="25F0EE06" w14:textId="77777777" w:rsidR="00BE6367" w:rsidRPr="00AA7016" w:rsidRDefault="00C90F6A">
            <w:pPr>
              <w:jc w:val="both"/>
              <w:rPr>
                <w:rFonts w:ascii="Arial" w:eastAsia="Arial" w:hAnsi="Arial" w:cs="Arial"/>
                <w:color w:val="000000"/>
                <w:sz w:val="20"/>
                <w:szCs w:val="20"/>
                <w:lang w:val="pt-PT"/>
              </w:rPr>
            </w:pPr>
            <w:r w:rsidRPr="00AA7016">
              <w:rPr>
                <w:rFonts w:ascii="Arial" w:eastAsia="Arial" w:hAnsi="Arial" w:cs="Arial"/>
                <w:color w:val="000000"/>
                <w:sz w:val="20"/>
                <w:szCs w:val="20"/>
                <w:lang w:val="pt-PT"/>
              </w:rPr>
              <w:t>LENTES FULL FRAME RNGO APERTURA 2,8-22 DISTANCIA FOCAL 35-150 MM</w:t>
            </w:r>
          </w:p>
        </w:tc>
        <w:tc>
          <w:tcPr>
            <w:tcW w:w="1108" w:type="dxa"/>
            <w:tcBorders>
              <w:top w:val="nil"/>
              <w:left w:val="nil"/>
              <w:bottom w:val="nil"/>
              <w:right w:val="single" w:sz="8" w:space="0" w:color="000000"/>
            </w:tcBorders>
            <w:vAlign w:val="center"/>
          </w:tcPr>
          <w:p w14:paraId="26E823E3" w14:textId="77777777" w:rsidR="00BE6367" w:rsidRPr="00AA7016" w:rsidRDefault="00C90F6A">
            <w:pPr>
              <w:jc w:val="both"/>
              <w:rPr>
                <w:rFonts w:ascii="Arial" w:eastAsia="Arial" w:hAnsi="Arial" w:cs="Arial"/>
                <w:color w:val="000000"/>
                <w:sz w:val="20"/>
                <w:szCs w:val="20"/>
                <w:lang w:val="pt-PT"/>
              </w:rPr>
            </w:pPr>
            <w:r w:rsidRPr="00AA7016">
              <w:rPr>
                <w:rFonts w:ascii="Arial" w:eastAsia="Arial" w:hAnsi="Arial" w:cs="Arial"/>
                <w:color w:val="000000"/>
                <w:sz w:val="20"/>
                <w:szCs w:val="20"/>
                <w:lang w:val="pt-PT"/>
              </w:rPr>
              <w:t> </w:t>
            </w:r>
          </w:p>
        </w:tc>
        <w:tc>
          <w:tcPr>
            <w:tcW w:w="713" w:type="dxa"/>
            <w:tcBorders>
              <w:top w:val="nil"/>
              <w:left w:val="nil"/>
              <w:bottom w:val="nil"/>
              <w:right w:val="nil"/>
            </w:tcBorders>
            <w:vAlign w:val="center"/>
          </w:tcPr>
          <w:p w14:paraId="32B58EC9" w14:textId="77777777" w:rsidR="00BE6367" w:rsidRPr="00AA7016" w:rsidRDefault="00BE6367">
            <w:pPr>
              <w:jc w:val="both"/>
              <w:rPr>
                <w:rFonts w:ascii="Arial" w:eastAsia="Arial" w:hAnsi="Arial" w:cs="Arial"/>
                <w:color w:val="000000"/>
                <w:sz w:val="20"/>
                <w:szCs w:val="20"/>
                <w:lang w:val="pt-PT"/>
              </w:rPr>
            </w:pPr>
          </w:p>
        </w:tc>
        <w:tc>
          <w:tcPr>
            <w:tcW w:w="2324" w:type="dxa"/>
            <w:tcBorders>
              <w:top w:val="nil"/>
              <w:left w:val="nil"/>
              <w:bottom w:val="nil"/>
              <w:right w:val="single" w:sz="8" w:space="0" w:color="000000"/>
            </w:tcBorders>
            <w:vAlign w:val="center"/>
          </w:tcPr>
          <w:p w14:paraId="7A338E42" w14:textId="77777777" w:rsidR="00BE6367" w:rsidRPr="00AA7016" w:rsidRDefault="00C90F6A">
            <w:pPr>
              <w:jc w:val="both"/>
              <w:rPr>
                <w:rFonts w:ascii="Arial" w:eastAsia="Arial" w:hAnsi="Arial" w:cs="Arial"/>
                <w:color w:val="000000"/>
                <w:sz w:val="20"/>
                <w:szCs w:val="20"/>
                <w:lang w:val="pt-PT"/>
              </w:rPr>
            </w:pPr>
            <w:r w:rsidRPr="00AA7016">
              <w:rPr>
                <w:rFonts w:ascii="Arial" w:eastAsia="Arial" w:hAnsi="Arial" w:cs="Arial"/>
                <w:color w:val="000000"/>
                <w:sz w:val="20"/>
                <w:szCs w:val="20"/>
                <w:lang w:val="pt-PT"/>
              </w:rPr>
              <w:t> </w:t>
            </w:r>
          </w:p>
        </w:tc>
      </w:tr>
      <w:tr w:rsidR="00BE6367" w14:paraId="19D651C6"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48B8D4A2"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20</w:t>
            </w:r>
          </w:p>
        </w:tc>
        <w:tc>
          <w:tcPr>
            <w:tcW w:w="3623" w:type="dxa"/>
            <w:vMerge/>
            <w:tcBorders>
              <w:top w:val="nil"/>
              <w:left w:val="single" w:sz="8" w:space="0" w:color="000000"/>
              <w:bottom w:val="single" w:sz="8" w:space="0" w:color="000000"/>
              <w:right w:val="single" w:sz="8" w:space="0" w:color="000000"/>
            </w:tcBorders>
            <w:vAlign w:val="center"/>
          </w:tcPr>
          <w:p w14:paraId="75C22403" w14:textId="77777777" w:rsidR="00BE6367" w:rsidRDefault="00BE6367">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tc>
        <w:tc>
          <w:tcPr>
            <w:tcW w:w="1108" w:type="dxa"/>
            <w:tcBorders>
              <w:top w:val="nil"/>
              <w:left w:val="nil"/>
              <w:bottom w:val="single" w:sz="8" w:space="0" w:color="000000"/>
              <w:right w:val="single" w:sz="8" w:space="0" w:color="000000"/>
            </w:tcBorders>
            <w:vAlign w:val="center"/>
          </w:tcPr>
          <w:p w14:paraId="33EC8D23"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6</w:t>
            </w:r>
          </w:p>
        </w:tc>
        <w:tc>
          <w:tcPr>
            <w:tcW w:w="713" w:type="dxa"/>
            <w:tcBorders>
              <w:top w:val="nil"/>
              <w:left w:val="nil"/>
              <w:bottom w:val="single" w:sz="8" w:space="0" w:color="000000"/>
              <w:right w:val="nil"/>
            </w:tcBorders>
            <w:vAlign w:val="center"/>
          </w:tcPr>
          <w:p w14:paraId="14EF4FE9"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3BD9491B"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15.874.528</w:t>
            </w:r>
          </w:p>
        </w:tc>
      </w:tr>
      <w:tr w:rsidR="00BE6367" w:rsidRPr="00AA7016" w14:paraId="79BF1F2C" w14:textId="77777777">
        <w:trPr>
          <w:trHeight w:val="585"/>
        </w:trPr>
        <w:tc>
          <w:tcPr>
            <w:tcW w:w="1050" w:type="dxa"/>
            <w:tcBorders>
              <w:top w:val="nil"/>
              <w:left w:val="single" w:sz="8" w:space="0" w:color="000000"/>
              <w:bottom w:val="nil"/>
              <w:right w:val="single" w:sz="8" w:space="0" w:color="000000"/>
            </w:tcBorders>
            <w:vAlign w:val="center"/>
          </w:tcPr>
          <w:p w14:paraId="4E0BDEEA"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lastRenderedPageBreak/>
              <w:t> </w:t>
            </w:r>
          </w:p>
        </w:tc>
        <w:tc>
          <w:tcPr>
            <w:tcW w:w="3623" w:type="dxa"/>
            <w:vMerge w:val="restart"/>
            <w:tcBorders>
              <w:top w:val="nil"/>
              <w:left w:val="single" w:sz="8" w:space="0" w:color="000000"/>
              <w:bottom w:val="single" w:sz="8" w:space="0" w:color="000000"/>
              <w:right w:val="single" w:sz="8" w:space="0" w:color="000000"/>
            </w:tcBorders>
            <w:vAlign w:val="center"/>
          </w:tcPr>
          <w:p w14:paraId="38738383" w14:textId="77777777" w:rsidR="00BE6367" w:rsidRPr="00AA7016" w:rsidRDefault="00C90F6A">
            <w:pPr>
              <w:jc w:val="both"/>
              <w:rPr>
                <w:rFonts w:ascii="Arial" w:eastAsia="Arial" w:hAnsi="Arial" w:cs="Arial"/>
                <w:color w:val="000000"/>
                <w:sz w:val="20"/>
                <w:szCs w:val="20"/>
                <w:lang w:val="pt-PT"/>
              </w:rPr>
            </w:pPr>
            <w:r w:rsidRPr="00AA7016">
              <w:rPr>
                <w:rFonts w:ascii="Arial" w:eastAsia="Arial" w:hAnsi="Arial" w:cs="Arial"/>
                <w:color w:val="000000"/>
                <w:sz w:val="20"/>
                <w:szCs w:val="20"/>
                <w:lang w:val="pt-PT"/>
              </w:rPr>
              <w:t>LENTES FULL FRAME RANGO APERTURA 1,4-22 DISTANCIA FOCAL 85MM</w:t>
            </w:r>
          </w:p>
        </w:tc>
        <w:tc>
          <w:tcPr>
            <w:tcW w:w="1108" w:type="dxa"/>
            <w:tcBorders>
              <w:top w:val="nil"/>
              <w:left w:val="nil"/>
              <w:bottom w:val="nil"/>
              <w:right w:val="single" w:sz="8" w:space="0" w:color="000000"/>
            </w:tcBorders>
            <w:vAlign w:val="center"/>
          </w:tcPr>
          <w:p w14:paraId="4288FD86" w14:textId="77777777" w:rsidR="00BE6367" w:rsidRPr="00AA7016" w:rsidRDefault="00C90F6A">
            <w:pPr>
              <w:jc w:val="both"/>
              <w:rPr>
                <w:rFonts w:ascii="Arial" w:eastAsia="Arial" w:hAnsi="Arial" w:cs="Arial"/>
                <w:color w:val="000000"/>
                <w:sz w:val="20"/>
                <w:szCs w:val="20"/>
                <w:lang w:val="pt-PT"/>
              </w:rPr>
            </w:pPr>
            <w:r w:rsidRPr="00AA7016">
              <w:rPr>
                <w:rFonts w:ascii="Arial" w:eastAsia="Arial" w:hAnsi="Arial" w:cs="Arial"/>
                <w:color w:val="000000"/>
                <w:sz w:val="20"/>
                <w:szCs w:val="20"/>
                <w:lang w:val="pt-PT"/>
              </w:rPr>
              <w:t> </w:t>
            </w:r>
          </w:p>
        </w:tc>
        <w:tc>
          <w:tcPr>
            <w:tcW w:w="713" w:type="dxa"/>
            <w:tcBorders>
              <w:top w:val="nil"/>
              <w:left w:val="nil"/>
              <w:bottom w:val="nil"/>
              <w:right w:val="nil"/>
            </w:tcBorders>
            <w:vAlign w:val="center"/>
          </w:tcPr>
          <w:p w14:paraId="1C72DBB8" w14:textId="77777777" w:rsidR="00BE6367" w:rsidRPr="00AA7016" w:rsidRDefault="00BE6367">
            <w:pPr>
              <w:jc w:val="both"/>
              <w:rPr>
                <w:rFonts w:ascii="Arial" w:eastAsia="Arial" w:hAnsi="Arial" w:cs="Arial"/>
                <w:color w:val="000000"/>
                <w:sz w:val="20"/>
                <w:szCs w:val="20"/>
                <w:lang w:val="pt-PT"/>
              </w:rPr>
            </w:pPr>
          </w:p>
        </w:tc>
        <w:tc>
          <w:tcPr>
            <w:tcW w:w="2324" w:type="dxa"/>
            <w:tcBorders>
              <w:top w:val="nil"/>
              <w:left w:val="nil"/>
              <w:bottom w:val="nil"/>
              <w:right w:val="single" w:sz="8" w:space="0" w:color="000000"/>
            </w:tcBorders>
            <w:vAlign w:val="center"/>
          </w:tcPr>
          <w:p w14:paraId="7D63D3BE" w14:textId="77777777" w:rsidR="00BE6367" w:rsidRPr="00AA7016" w:rsidRDefault="00C90F6A">
            <w:pPr>
              <w:jc w:val="both"/>
              <w:rPr>
                <w:rFonts w:ascii="Arial" w:eastAsia="Arial" w:hAnsi="Arial" w:cs="Arial"/>
                <w:color w:val="000000"/>
                <w:sz w:val="20"/>
                <w:szCs w:val="20"/>
                <w:lang w:val="pt-PT"/>
              </w:rPr>
            </w:pPr>
            <w:r w:rsidRPr="00AA7016">
              <w:rPr>
                <w:rFonts w:ascii="Arial" w:eastAsia="Arial" w:hAnsi="Arial" w:cs="Arial"/>
                <w:color w:val="000000"/>
                <w:sz w:val="20"/>
                <w:szCs w:val="20"/>
                <w:lang w:val="pt-PT"/>
              </w:rPr>
              <w:t> </w:t>
            </w:r>
          </w:p>
        </w:tc>
      </w:tr>
      <w:tr w:rsidR="00BE6367" w14:paraId="63B2E605"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341BE4A1"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21</w:t>
            </w:r>
          </w:p>
        </w:tc>
        <w:tc>
          <w:tcPr>
            <w:tcW w:w="3623" w:type="dxa"/>
            <w:vMerge/>
            <w:tcBorders>
              <w:top w:val="nil"/>
              <w:left w:val="single" w:sz="8" w:space="0" w:color="000000"/>
              <w:bottom w:val="single" w:sz="8" w:space="0" w:color="000000"/>
              <w:right w:val="single" w:sz="8" w:space="0" w:color="000000"/>
            </w:tcBorders>
            <w:vAlign w:val="center"/>
          </w:tcPr>
          <w:p w14:paraId="2D1EC1E4" w14:textId="77777777" w:rsidR="00BE6367" w:rsidRDefault="00BE6367">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tc>
        <w:tc>
          <w:tcPr>
            <w:tcW w:w="1108" w:type="dxa"/>
            <w:tcBorders>
              <w:top w:val="nil"/>
              <w:left w:val="nil"/>
              <w:bottom w:val="single" w:sz="8" w:space="0" w:color="000000"/>
              <w:right w:val="single" w:sz="8" w:space="0" w:color="000000"/>
            </w:tcBorders>
            <w:vAlign w:val="center"/>
          </w:tcPr>
          <w:p w14:paraId="100113A9"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6</w:t>
            </w:r>
          </w:p>
        </w:tc>
        <w:tc>
          <w:tcPr>
            <w:tcW w:w="713" w:type="dxa"/>
            <w:tcBorders>
              <w:top w:val="nil"/>
              <w:left w:val="nil"/>
              <w:bottom w:val="single" w:sz="8" w:space="0" w:color="000000"/>
              <w:right w:val="nil"/>
            </w:tcBorders>
            <w:vAlign w:val="center"/>
          </w:tcPr>
          <w:p w14:paraId="145BE6FB"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24B8E195"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21.069.829</w:t>
            </w:r>
          </w:p>
        </w:tc>
      </w:tr>
      <w:tr w:rsidR="00BE6367" w14:paraId="1B40CF85"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612F464D"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22</w:t>
            </w:r>
          </w:p>
        </w:tc>
        <w:tc>
          <w:tcPr>
            <w:tcW w:w="3623" w:type="dxa"/>
            <w:tcBorders>
              <w:top w:val="nil"/>
              <w:left w:val="nil"/>
              <w:bottom w:val="single" w:sz="8" w:space="0" w:color="000000"/>
              <w:right w:val="single" w:sz="8" w:space="0" w:color="000000"/>
            </w:tcBorders>
            <w:vAlign w:val="center"/>
          </w:tcPr>
          <w:p w14:paraId="6DA8D4CE" w14:textId="77777777" w:rsidR="00BE6367" w:rsidRDefault="00C90F6A">
            <w:pPr>
              <w:ind w:firstLine="1100"/>
              <w:jc w:val="both"/>
              <w:rPr>
                <w:rFonts w:ascii="Arial" w:eastAsia="Arial" w:hAnsi="Arial" w:cs="Arial"/>
                <w:color w:val="000000"/>
                <w:sz w:val="20"/>
                <w:szCs w:val="20"/>
              </w:rPr>
            </w:pPr>
            <w:r>
              <w:rPr>
                <w:rFonts w:ascii="Arial" w:eastAsia="Arial" w:hAnsi="Arial" w:cs="Arial"/>
                <w:color w:val="000000"/>
                <w:sz w:val="20"/>
                <w:szCs w:val="20"/>
              </w:rPr>
              <w:t>LENTE TELEOBJETIVO</w:t>
            </w:r>
          </w:p>
        </w:tc>
        <w:tc>
          <w:tcPr>
            <w:tcW w:w="1108" w:type="dxa"/>
            <w:tcBorders>
              <w:top w:val="nil"/>
              <w:left w:val="nil"/>
              <w:bottom w:val="single" w:sz="8" w:space="0" w:color="000000"/>
              <w:right w:val="single" w:sz="8" w:space="0" w:color="000000"/>
            </w:tcBorders>
            <w:vAlign w:val="center"/>
          </w:tcPr>
          <w:p w14:paraId="00F8E511"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3</w:t>
            </w:r>
          </w:p>
        </w:tc>
        <w:tc>
          <w:tcPr>
            <w:tcW w:w="713" w:type="dxa"/>
            <w:tcBorders>
              <w:top w:val="nil"/>
              <w:left w:val="nil"/>
              <w:bottom w:val="single" w:sz="8" w:space="0" w:color="000000"/>
              <w:right w:val="nil"/>
            </w:tcBorders>
            <w:vAlign w:val="center"/>
          </w:tcPr>
          <w:p w14:paraId="677864F6"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10C61C85"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22.224.340</w:t>
            </w:r>
          </w:p>
        </w:tc>
      </w:tr>
      <w:tr w:rsidR="00BE6367" w14:paraId="27F99E63"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2065D372"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23</w:t>
            </w:r>
          </w:p>
        </w:tc>
        <w:tc>
          <w:tcPr>
            <w:tcW w:w="3623" w:type="dxa"/>
            <w:tcBorders>
              <w:top w:val="nil"/>
              <w:left w:val="nil"/>
              <w:bottom w:val="single" w:sz="8" w:space="0" w:color="000000"/>
              <w:right w:val="single" w:sz="8" w:space="0" w:color="000000"/>
            </w:tcBorders>
            <w:vAlign w:val="center"/>
          </w:tcPr>
          <w:p w14:paraId="7D6D83BE" w14:textId="77777777" w:rsidR="00BE6367" w:rsidRDefault="00C90F6A">
            <w:pPr>
              <w:ind w:firstLine="1100"/>
              <w:jc w:val="both"/>
              <w:rPr>
                <w:rFonts w:ascii="Arial" w:eastAsia="Arial" w:hAnsi="Arial" w:cs="Arial"/>
                <w:color w:val="000000"/>
                <w:sz w:val="20"/>
                <w:szCs w:val="20"/>
              </w:rPr>
            </w:pPr>
            <w:r>
              <w:rPr>
                <w:rFonts w:ascii="Arial" w:eastAsia="Arial" w:hAnsi="Arial" w:cs="Arial"/>
                <w:color w:val="000000"/>
                <w:sz w:val="20"/>
                <w:szCs w:val="20"/>
              </w:rPr>
              <w:t>SET DE MICROFONOS</w:t>
            </w:r>
          </w:p>
        </w:tc>
        <w:tc>
          <w:tcPr>
            <w:tcW w:w="1108" w:type="dxa"/>
            <w:tcBorders>
              <w:top w:val="nil"/>
              <w:left w:val="nil"/>
              <w:bottom w:val="single" w:sz="8" w:space="0" w:color="000000"/>
              <w:right w:val="single" w:sz="8" w:space="0" w:color="000000"/>
            </w:tcBorders>
            <w:vAlign w:val="center"/>
          </w:tcPr>
          <w:p w14:paraId="6D640D3A"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4</w:t>
            </w:r>
          </w:p>
        </w:tc>
        <w:tc>
          <w:tcPr>
            <w:tcW w:w="713" w:type="dxa"/>
            <w:tcBorders>
              <w:top w:val="nil"/>
              <w:left w:val="nil"/>
              <w:bottom w:val="single" w:sz="8" w:space="0" w:color="000000"/>
              <w:right w:val="nil"/>
            </w:tcBorders>
            <w:vAlign w:val="center"/>
          </w:tcPr>
          <w:p w14:paraId="325C57FE" w14:textId="77777777" w:rsidR="00BE6367" w:rsidRDefault="00C90F6A">
            <w:pPr>
              <w:ind w:firstLine="44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1BA870BC" w14:textId="77777777" w:rsidR="00BE6367" w:rsidRDefault="00C90F6A">
            <w:pPr>
              <w:ind w:firstLine="1100"/>
              <w:jc w:val="both"/>
              <w:rPr>
                <w:rFonts w:ascii="Arial" w:eastAsia="Arial" w:hAnsi="Arial" w:cs="Arial"/>
                <w:color w:val="000000"/>
                <w:sz w:val="20"/>
                <w:szCs w:val="20"/>
              </w:rPr>
            </w:pPr>
            <w:r>
              <w:rPr>
                <w:rFonts w:ascii="Arial" w:eastAsia="Arial" w:hAnsi="Arial" w:cs="Arial"/>
                <w:color w:val="000000"/>
                <w:sz w:val="20"/>
                <w:szCs w:val="20"/>
              </w:rPr>
              <w:t>3.867.613</w:t>
            </w:r>
          </w:p>
        </w:tc>
      </w:tr>
      <w:tr w:rsidR="00BE6367" w14:paraId="12AF50B4"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2E3DF762"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24</w:t>
            </w:r>
          </w:p>
        </w:tc>
        <w:tc>
          <w:tcPr>
            <w:tcW w:w="3623" w:type="dxa"/>
            <w:tcBorders>
              <w:top w:val="nil"/>
              <w:left w:val="nil"/>
              <w:bottom w:val="single" w:sz="8" w:space="0" w:color="000000"/>
              <w:right w:val="single" w:sz="8" w:space="0" w:color="000000"/>
            </w:tcBorders>
            <w:vAlign w:val="center"/>
          </w:tcPr>
          <w:p w14:paraId="1A484604"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BATERÍA DE LITIO PARA CÁMARA</w:t>
            </w:r>
          </w:p>
        </w:tc>
        <w:tc>
          <w:tcPr>
            <w:tcW w:w="1108" w:type="dxa"/>
            <w:tcBorders>
              <w:top w:val="nil"/>
              <w:left w:val="nil"/>
              <w:bottom w:val="single" w:sz="8" w:space="0" w:color="000000"/>
              <w:right w:val="single" w:sz="8" w:space="0" w:color="000000"/>
            </w:tcBorders>
            <w:vAlign w:val="center"/>
          </w:tcPr>
          <w:p w14:paraId="61B2D201"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14</w:t>
            </w:r>
          </w:p>
        </w:tc>
        <w:tc>
          <w:tcPr>
            <w:tcW w:w="713" w:type="dxa"/>
            <w:tcBorders>
              <w:top w:val="nil"/>
              <w:left w:val="nil"/>
              <w:bottom w:val="single" w:sz="8" w:space="0" w:color="000000"/>
              <w:right w:val="nil"/>
            </w:tcBorders>
            <w:vAlign w:val="center"/>
          </w:tcPr>
          <w:p w14:paraId="242F664D" w14:textId="77777777" w:rsidR="00BE6367" w:rsidRDefault="00C90F6A">
            <w:pPr>
              <w:ind w:firstLine="44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49746E11" w14:textId="77777777" w:rsidR="00BE6367" w:rsidRDefault="00C90F6A">
            <w:pPr>
              <w:ind w:firstLine="1100"/>
              <w:jc w:val="both"/>
              <w:rPr>
                <w:rFonts w:ascii="Arial" w:eastAsia="Arial" w:hAnsi="Arial" w:cs="Arial"/>
                <w:color w:val="000000"/>
                <w:sz w:val="20"/>
                <w:szCs w:val="20"/>
              </w:rPr>
            </w:pPr>
            <w:r>
              <w:rPr>
                <w:rFonts w:ascii="Arial" w:eastAsia="Arial" w:hAnsi="Arial" w:cs="Arial"/>
                <w:color w:val="000000"/>
                <w:sz w:val="20"/>
                <w:szCs w:val="20"/>
              </w:rPr>
              <w:t>1.443.139</w:t>
            </w:r>
          </w:p>
        </w:tc>
      </w:tr>
      <w:tr w:rsidR="00BE6367" w14:paraId="5E8CED50"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6AB7CAA7"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25</w:t>
            </w:r>
          </w:p>
        </w:tc>
        <w:tc>
          <w:tcPr>
            <w:tcW w:w="3623" w:type="dxa"/>
            <w:tcBorders>
              <w:top w:val="nil"/>
              <w:left w:val="nil"/>
              <w:bottom w:val="single" w:sz="8" w:space="0" w:color="000000"/>
              <w:right w:val="single" w:sz="8" w:space="0" w:color="000000"/>
            </w:tcBorders>
            <w:vAlign w:val="center"/>
          </w:tcPr>
          <w:p w14:paraId="27E64A87" w14:textId="77777777" w:rsidR="00BE6367" w:rsidRDefault="00C90F6A">
            <w:pPr>
              <w:ind w:firstLine="1100"/>
              <w:jc w:val="both"/>
              <w:rPr>
                <w:rFonts w:ascii="Arial" w:eastAsia="Arial" w:hAnsi="Arial" w:cs="Arial"/>
                <w:color w:val="000000"/>
                <w:sz w:val="20"/>
                <w:szCs w:val="20"/>
              </w:rPr>
            </w:pPr>
            <w:r>
              <w:rPr>
                <w:rFonts w:ascii="Arial" w:eastAsia="Arial" w:hAnsi="Arial" w:cs="Arial"/>
                <w:color w:val="000000"/>
                <w:sz w:val="20"/>
                <w:szCs w:val="20"/>
              </w:rPr>
              <w:t>FLASH ELECTRÓNICO</w:t>
            </w:r>
          </w:p>
        </w:tc>
        <w:tc>
          <w:tcPr>
            <w:tcW w:w="1108" w:type="dxa"/>
            <w:tcBorders>
              <w:top w:val="nil"/>
              <w:left w:val="nil"/>
              <w:bottom w:val="single" w:sz="8" w:space="0" w:color="000000"/>
              <w:right w:val="single" w:sz="8" w:space="0" w:color="000000"/>
            </w:tcBorders>
            <w:vAlign w:val="center"/>
          </w:tcPr>
          <w:p w14:paraId="48C5D90F"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3</w:t>
            </w:r>
          </w:p>
        </w:tc>
        <w:tc>
          <w:tcPr>
            <w:tcW w:w="713" w:type="dxa"/>
            <w:tcBorders>
              <w:top w:val="nil"/>
              <w:left w:val="nil"/>
              <w:bottom w:val="single" w:sz="8" w:space="0" w:color="000000"/>
              <w:right w:val="nil"/>
            </w:tcBorders>
            <w:vAlign w:val="center"/>
          </w:tcPr>
          <w:p w14:paraId="6925013E" w14:textId="77777777" w:rsidR="00BE6367" w:rsidRDefault="00C90F6A">
            <w:pPr>
              <w:ind w:firstLine="44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4BAD9DD6" w14:textId="77777777" w:rsidR="00BE6367" w:rsidRDefault="00C90F6A">
            <w:pPr>
              <w:ind w:firstLine="1100"/>
              <w:jc w:val="both"/>
              <w:rPr>
                <w:rFonts w:ascii="Arial" w:eastAsia="Arial" w:hAnsi="Arial" w:cs="Arial"/>
                <w:color w:val="000000"/>
                <w:sz w:val="20"/>
                <w:szCs w:val="20"/>
              </w:rPr>
            </w:pPr>
            <w:r>
              <w:rPr>
                <w:rFonts w:ascii="Arial" w:eastAsia="Arial" w:hAnsi="Arial" w:cs="Arial"/>
                <w:color w:val="000000"/>
                <w:sz w:val="20"/>
                <w:szCs w:val="20"/>
              </w:rPr>
              <w:t>6.927.067</w:t>
            </w:r>
          </w:p>
        </w:tc>
      </w:tr>
      <w:tr w:rsidR="00BE6367" w14:paraId="18DC2BD1"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5F78F658"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26</w:t>
            </w:r>
          </w:p>
        </w:tc>
        <w:tc>
          <w:tcPr>
            <w:tcW w:w="3623" w:type="dxa"/>
            <w:tcBorders>
              <w:top w:val="nil"/>
              <w:left w:val="nil"/>
              <w:bottom w:val="single" w:sz="8" w:space="0" w:color="000000"/>
              <w:right w:val="single" w:sz="8" w:space="0" w:color="000000"/>
            </w:tcBorders>
            <w:vAlign w:val="center"/>
          </w:tcPr>
          <w:p w14:paraId="3E8F7778" w14:textId="77777777" w:rsidR="00BE6367" w:rsidRDefault="00C90F6A">
            <w:pPr>
              <w:ind w:firstLine="1100"/>
              <w:jc w:val="both"/>
              <w:rPr>
                <w:rFonts w:ascii="Arial" w:eastAsia="Arial" w:hAnsi="Arial" w:cs="Arial"/>
                <w:color w:val="000000"/>
                <w:sz w:val="20"/>
                <w:szCs w:val="20"/>
              </w:rPr>
            </w:pPr>
            <w:r>
              <w:rPr>
                <w:rFonts w:ascii="Arial" w:eastAsia="Arial" w:hAnsi="Arial" w:cs="Arial"/>
                <w:color w:val="000000"/>
                <w:sz w:val="20"/>
                <w:szCs w:val="20"/>
              </w:rPr>
              <w:t>KIT DE ILUMINACIÓN</w:t>
            </w:r>
          </w:p>
        </w:tc>
        <w:tc>
          <w:tcPr>
            <w:tcW w:w="1108" w:type="dxa"/>
            <w:tcBorders>
              <w:top w:val="nil"/>
              <w:left w:val="nil"/>
              <w:bottom w:val="single" w:sz="8" w:space="0" w:color="000000"/>
              <w:right w:val="single" w:sz="8" w:space="0" w:color="000000"/>
            </w:tcBorders>
            <w:vAlign w:val="center"/>
          </w:tcPr>
          <w:p w14:paraId="20E706D8"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w:t>
            </w:r>
          </w:p>
        </w:tc>
        <w:tc>
          <w:tcPr>
            <w:tcW w:w="713" w:type="dxa"/>
            <w:tcBorders>
              <w:top w:val="nil"/>
              <w:left w:val="nil"/>
              <w:bottom w:val="single" w:sz="8" w:space="0" w:color="000000"/>
              <w:right w:val="nil"/>
            </w:tcBorders>
            <w:vAlign w:val="center"/>
          </w:tcPr>
          <w:p w14:paraId="59FE548C"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0CFE7506"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14.720.017</w:t>
            </w:r>
          </w:p>
        </w:tc>
      </w:tr>
      <w:tr w:rsidR="00BE6367" w14:paraId="41D20606"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5189B316"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27</w:t>
            </w:r>
          </w:p>
        </w:tc>
        <w:tc>
          <w:tcPr>
            <w:tcW w:w="3623" w:type="dxa"/>
            <w:tcBorders>
              <w:top w:val="nil"/>
              <w:left w:val="nil"/>
              <w:bottom w:val="single" w:sz="8" w:space="0" w:color="000000"/>
              <w:right w:val="single" w:sz="8" w:space="0" w:color="000000"/>
            </w:tcBorders>
            <w:vAlign w:val="center"/>
          </w:tcPr>
          <w:p w14:paraId="2AA83BBE" w14:textId="77777777" w:rsidR="00BE6367" w:rsidRDefault="00C90F6A">
            <w:pPr>
              <w:ind w:firstLine="440"/>
              <w:jc w:val="both"/>
              <w:rPr>
                <w:rFonts w:ascii="Arial" w:eastAsia="Arial" w:hAnsi="Arial" w:cs="Arial"/>
                <w:color w:val="000000"/>
                <w:sz w:val="20"/>
                <w:szCs w:val="20"/>
              </w:rPr>
            </w:pPr>
            <w:r>
              <w:rPr>
                <w:rFonts w:ascii="Arial" w:eastAsia="Arial" w:hAnsi="Arial" w:cs="Arial"/>
                <w:color w:val="000000"/>
                <w:sz w:val="20"/>
                <w:szCs w:val="20"/>
              </w:rPr>
              <w:t>VIDEO CÁMAR DE REPORTERÍA</w:t>
            </w:r>
          </w:p>
        </w:tc>
        <w:tc>
          <w:tcPr>
            <w:tcW w:w="1108" w:type="dxa"/>
            <w:tcBorders>
              <w:top w:val="nil"/>
              <w:left w:val="nil"/>
              <w:bottom w:val="single" w:sz="8" w:space="0" w:color="000000"/>
              <w:right w:val="single" w:sz="8" w:space="0" w:color="000000"/>
            </w:tcBorders>
            <w:vAlign w:val="center"/>
          </w:tcPr>
          <w:p w14:paraId="1308BF51"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3</w:t>
            </w:r>
          </w:p>
        </w:tc>
        <w:tc>
          <w:tcPr>
            <w:tcW w:w="713" w:type="dxa"/>
            <w:tcBorders>
              <w:top w:val="nil"/>
              <w:left w:val="nil"/>
              <w:bottom w:val="single" w:sz="8" w:space="0" w:color="000000"/>
              <w:right w:val="nil"/>
            </w:tcBorders>
            <w:vAlign w:val="center"/>
          </w:tcPr>
          <w:p w14:paraId="51A0515A"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0E5DDC1D"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30.560.590</w:t>
            </w:r>
          </w:p>
        </w:tc>
      </w:tr>
      <w:tr w:rsidR="00BE6367" w14:paraId="588E0D7F"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313DE494"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28</w:t>
            </w:r>
          </w:p>
        </w:tc>
        <w:tc>
          <w:tcPr>
            <w:tcW w:w="3623" w:type="dxa"/>
            <w:tcBorders>
              <w:top w:val="nil"/>
              <w:left w:val="nil"/>
              <w:bottom w:val="single" w:sz="8" w:space="0" w:color="000000"/>
              <w:right w:val="single" w:sz="8" w:space="0" w:color="000000"/>
            </w:tcBorders>
            <w:vAlign w:val="center"/>
          </w:tcPr>
          <w:p w14:paraId="2E76D7C9" w14:textId="77777777" w:rsidR="00BE6367" w:rsidRDefault="00C90F6A">
            <w:pPr>
              <w:ind w:firstLine="1540"/>
              <w:jc w:val="both"/>
              <w:rPr>
                <w:rFonts w:ascii="Arial" w:eastAsia="Arial" w:hAnsi="Arial" w:cs="Arial"/>
                <w:color w:val="000000"/>
                <w:sz w:val="20"/>
                <w:szCs w:val="20"/>
              </w:rPr>
            </w:pPr>
            <w:r>
              <w:rPr>
                <w:rFonts w:ascii="Arial" w:eastAsia="Arial" w:hAnsi="Arial" w:cs="Arial"/>
                <w:color w:val="000000"/>
                <w:sz w:val="20"/>
                <w:szCs w:val="20"/>
              </w:rPr>
              <w:t>KIT DE FONDO</w:t>
            </w:r>
          </w:p>
        </w:tc>
        <w:tc>
          <w:tcPr>
            <w:tcW w:w="1108" w:type="dxa"/>
            <w:tcBorders>
              <w:top w:val="nil"/>
              <w:left w:val="nil"/>
              <w:bottom w:val="single" w:sz="8" w:space="0" w:color="000000"/>
              <w:right w:val="single" w:sz="8" w:space="0" w:color="000000"/>
            </w:tcBorders>
            <w:vAlign w:val="center"/>
          </w:tcPr>
          <w:p w14:paraId="20410194"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w:t>
            </w:r>
          </w:p>
        </w:tc>
        <w:tc>
          <w:tcPr>
            <w:tcW w:w="713" w:type="dxa"/>
            <w:tcBorders>
              <w:top w:val="nil"/>
              <w:left w:val="nil"/>
              <w:bottom w:val="single" w:sz="8" w:space="0" w:color="000000"/>
              <w:right w:val="nil"/>
            </w:tcBorders>
            <w:vAlign w:val="center"/>
          </w:tcPr>
          <w:p w14:paraId="78E65025" w14:textId="77777777" w:rsidR="00BE6367" w:rsidRDefault="00C90F6A">
            <w:pPr>
              <w:ind w:firstLine="44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369DA34A" w14:textId="77777777" w:rsidR="00BE6367" w:rsidRDefault="00C90F6A">
            <w:pPr>
              <w:ind w:firstLine="1100"/>
              <w:jc w:val="both"/>
              <w:rPr>
                <w:rFonts w:ascii="Arial" w:eastAsia="Arial" w:hAnsi="Arial" w:cs="Arial"/>
                <w:color w:val="000000"/>
                <w:sz w:val="20"/>
                <w:szCs w:val="20"/>
              </w:rPr>
            </w:pPr>
            <w:r>
              <w:rPr>
                <w:rFonts w:ascii="Arial" w:eastAsia="Arial" w:hAnsi="Arial" w:cs="Arial"/>
                <w:color w:val="000000"/>
                <w:sz w:val="20"/>
                <w:szCs w:val="20"/>
              </w:rPr>
              <w:t>2.597.650</w:t>
            </w:r>
          </w:p>
        </w:tc>
      </w:tr>
      <w:tr w:rsidR="00BE6367" w14:paraId="1AB98341"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5CA8A324"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30</w:t>
            </w:r>
          </w:p>
        </w:tc>
        <w:tc>
          <w:tcPr>
            <w:tcW w:w="3623" w:type="dxa"/>
            <w:tcBorders>
              <w:top w:val="nil"/>
              <w:left w:val="nil"/>
              <w:bottom w:val="single" w:sz="8" w:space="0" w:color="000000"/>
              <w:right w:val="single" w:sz="8" w:space="0" w:color="000000"/>
            </w:tcBorders>
            <w:vAlign w:val="center"/>
          </w:tcPr>
          <w:p w14:paraId="4C878C65"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BATERÍA NP</w:t>
            </w:r>
          </w:p>
        </w:tc>
        <w:tc>
          <w:tcPr>
            <w:tcW w:w="1108" w:type="dxa"/>
            <w:tcBorders>
              <w:top w:val="nil"/>
              <w:left w:val="nil"/>
              <w:bottom w:val="single" w:sz="8" w:space="0" w:color="000000"/>
              <w:right w:val="single" w:sz="8" w:space="0" w:color="000000"/>
            </w:tcBorders>
            <w:vAlign w:val="center"/>
          </w:tcPr>
          <w:p w14:paraId="0721E340"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8</w:t>
            </w:r>
          </w:p>
        </w:tc>
        <w:tc>
          <w:tcPr>
            <w:tcW w:w="713" w:type="dxa"/>
            <w:tcBorders>
              <w:top w:val="nil"/>
              <w:left w:val="nil"/>
              <w:bottom w:val="single" w:sz="8" w:space="0" w:color="000000"/>
              <w:right w:val="nil"/>
            </w:tcBorders>
            <w:vAlign w:val="center"/>
          </w:tcPr>
          <w:p w14:paraId="3A17B896" w14:textId="77777777" w:rsidR="00BE6367" w:rsidRDefault="00C90F6A">
            <w:pPr>
              <w:ind w:firstLine="44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3B111E05" w14:textId="77777777" w:rsidR="00BE6367" w:rsidRDefault="00C90F6A">
            <w:pPr>
              <w:ind w:firstLine="1100"/>
              <w:jc w:val="both"/>
              <w:rPr>
                <w:rFonts w:ascii="Arial" w:eastAsia="Arial" w:hAnsi="Arial" w:cs="Arial"/>
                <w:color w:val="000000"/>
                <w:sz w:val="20"/>
                <w:szCs w:val="20"/>
              </w:rPr>
            </w:pPr>
            <w:r>
              <w:rPr>
                <w:rFonts w:ascii="Arial" w:eastAsia="Arial" w:hAnsi="Arial" w:cs="Arial"/>
                <w:color w:val="000000"/>
                <w:sz w:val="20"/>
                <w:szCs w:val="20"/>
              </w:rPr>
              <w:t>1.096.786</w:t>
            </w:r>
          </w:p>
        </w:tc>
      </w:tr>
      <w:tr w:rsidR="00BE6367" w14:paraId="45D7E6F0" w14:textId="77777777">
        <w:trPr>
          <w:trHeight w:val="300"/>
        </w:trPr>
        <w:tc>
          <w:tcPr>
            <w:tcW w:w="1050" w:type="dxa"/>
            <w:tcBorders>
              <w:top w:val="nil"/>
              <w:left w:val="single" w:sz="8" w:space="0" w:color="000000"/>
              <w:bottom w:val="nil"/>
              <w:right w:val="single" w:sz="8" w:space="0" w:color="000000"/>
            </w:tcBorders>
            <w:vAlign w:val="center"/>
          </w:tcPr>
          <w:p w14:paraId="59ED1B7F"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3623" w:type="dxa"/>
            <w:tcBorders>
              <w:top w:val="nil"/>
              <w:left w:val="nil"/>
              <w:bottom w:val="nil"/>
              <w:right w:val="single" w:sz="8" w:space="0" w:color="000000"/>
            </w:tcBorders>
            <w:vAlign w:val="center"/>
          </w:tcPr>
          <w:p w14:paraId="7844AA87"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MONITOR DE VIDEO ACCESORIO</w:t>
            </w:r>
          </w:p>
        </w:tc>
        <w:tc>
          <w:tcPr>
            <w:tcW w:w="1108" w:type="dxa"/>
            <w:tcBorders>
              <w:top w:val="nil"/>
              <w:left w:val="nil"/>
              <w:bottom w:val="nil"/>
              <w:right w:val="single" w:sz="8" w:space="0" w:color="000000"/>
            </w:tcBorders>
            <w:vAlign w:val="center"/>
          </w:tcPr>
          <w:p w14:paraId="7D4F039C"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713" w:type="dxa"/>
            <w:tcBorders>
              <w:top w:val="nil"/>
              <w:left w:val="nil"/>
              <w:bottom w:val="nil"/>
              <w:right w:val="nil"/>
            </w:tcBorders>
            <w:vAlign w:val="center"/>
          </w:tcPr>
          <w:p w14:paraId="5B4A8091" w14:textId="77777777" w:rsidR="00BE6367" w:rsidRDefault="00BE6367">
            <w:pPr>
              <w:jc w:val="both"/>
              <w:rPr>
                <w:rFonts w:ascii="Arial" w:eastAsia="Arial" w:hAnsi="Arial" w:cs="Arial"/>
                <w:color w:val="000000"/>
                <w:sz w:val="20"/>
                <w:szCs w:val="20"/>
              </w:rPr>
            </w:pPr>
          </w:p>
        </w:tc>
        <w:tc>
          <w:tcPr>
            <w:tcW w:w="2324" w:type="dxa"/>
            <w:tcBorders>
              <w:top w:val="nil"/>
              <w:left w:val="nil"/>
              <w:bottom w:val="nil"/>
              <w:right w:val="single" w:sz="8" w:space="0" w:color="000000"/>
            </w:tcBorders>
            <w:vAlign w:val="center"/>
          </w:tcPr>
          <w:p w14:paraId="54330F1E"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r>
      <w:tr w:rsidR="00BE6367" w14:paraId="4F0CF5D8"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06C35464"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31</w:t>
            </w:r>
          </w:p>
        </w:tc>
        <w:tc>
          <w:tcPr>
            <w:tcW w:w="3623" w:type="dxa"/>
            <w:tcBorders>
              <w:top w:val="nil"/>
              <w:left w:val="nil"/>
              <w:bottom w:val="single" w:sz="8" w:space="0" w:color="000000"/>
              <w:right w:val="single" w:sz="8" w:space="0" w:color="000000"/>
            </w:tcBorders>
            <w:vAlign w:val="center"/>
          </w:tcPr>
          <w:p w14:paraId="0E893395"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24¨</w:t>
            </w:r>
          </w:p>
        </w:tc>
        <w:tc>
          <w:tcPr>
            <w:tcW w:w="1108" w:type="dxa"/>
            <w:tcBorders>
              <w:top w:val="nil"/>
              <w:left w:val="nil"/>
              <w:bottom w:val="single" w:sz="8" w:space="0" w:color="000000"/>
              <w:right w:val="single" w:sz="8" w:space="0" w:color="000000"/>
            </w:tcBorders>
            <w:vAlign w:val="center"/>
          </w:tcPr>
          <w:p w14:paraId="408C97E5"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2</w:t>
            </w:r>
          </w:p>
        </w:tc>
        <w:tc>
          <w:tcPr>
            <w:tcW w:w="713" w:type="dxa"/>
            <w:tcBorders>
              <w:top w:val="nil"/>
              <w:left w:val="nil"/>
              <w:bottom w:val="single" w:sz="8" w:space="0" w:color="000000"/>
              <w:right w:val="nil"/>
            </w:tcBorders>
            <w:vAlign w:val="center"/>
          </w:tcPr>
          <w:p w14:paraId="6CAC11F1"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20393E04"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15.533.948</w:t>
            </w:r>
          </w:p>
        </w:tc>
      </w:tr>
      <w:tr w:rsidR="00BE6367" w14:paraId="18E0C978"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3F4049DE"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32</w:t>
            </w:r>
          </w:p>
        </w:tc>
        <w:tc>
          <w:tcPr>
            <w:tcW w:w="3623" w:type="dxa"/>
            <w:tcBorders>
              <w:top w:val="nil"/>
              <w:left w:val="nil"/>
              <w:bottom w:val="single" w:sz="8" w:space="0" w:color="000000"/>
              <w:right w:val="single" w:sz="8" w:space="0" w:color="000000"/>
            </w:tcBorders>
            <w:vAlign w:val="center"/>
          </w:tcPr>
          <w:p w14:paraId="205EA0CB" w14:textId="77777777" w:rsidR="00BE6367" w:rsidRDefault="00C90F6A">
            <w:pPr>
              <w:ind w:firstLine="660"/>
              <w:jc w:val="both"/>
              <w:rPr>
                <w:rFonts w:ascii="Arial" w:eastAsia="Arial" w:hAnsi="Arial" w:cs="Arial"/>
                <w:color w:val="000000"/>
                <w:sz w:val="20"/>
                <w:szCs w:val="20"/>
              </w:rPr>
            </w:pPr>
            <w:r>
              <w:rPr>
                <w:rFonts w:ascii="Arial" w:eastAsia="Arial" w:hAnsi="Arial" w:cs="Arial"/>
                <w:color w:val="000000"/>
                <w:sz w:val="20"/>
                <w:szCs w:val="20"/>
              </w:rPr>
              <w:t>MONITOR INTERACTIVO 75¨</w:t>
            </w:r>
          </w:p>
        </w:tc>
        <w:tc>
          <w:tcPr>
            <w:tcW w:w="1108" w:type="dxa"/>
            <w:tcBorders>
              <w:top w:val="nil"/>
              <w:left w:val="nil"/>
              <w:bottom w:val="single" w:sz="8" w:space="0" w:color="000000"/>
              <w:right w:val="single" w:sz="8" w:space="0" w:color="000000"/>
            </w:tcBorders>
            <w:vAlign w:val="center"/>
          </w:tcPr>
          <w:p w14:paraId="694B48BC"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w:t>
            </w:r>
          </w:p>
        </w:tc>
        <w:tc>
          <w:tcPr>
            <w:tcW w:w="713" w:type="dxa"/>
            <w:tcBorders>
              <w:top w:val="nil"/>
              <w:left w:val="nil"/>
              <w:bottom w:val="single" w:sz="8" w:space="0" w:color="000000"/>
              <w:right w:val="nil"/>
            </w:tcBorders>
            <w:vAlign w:val="center"/>
          </w:tcPr>
          <w:p w14:paraId="08324EF5"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0D0BCDBF"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17.149.532</w:t>
            </w:r>
          </w:p>
        </w:tc>
      </w:tr>
      <w:tr w:rsidR="00BE6367" w14:paraId="0F5DC215"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029DB319"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33</w:t>
            </w:r>
          </w:p>
        </w:tc>
        <w:tc>
          <w:tcPr>
            <w:tcW w:w="3623" w:type="dxa"/>
            <w:tcBorders>
              <w:top w:val="nil"/>
              <w:left w:val="nil"/>
              <w:bottom w:val="single" w:sz="8" w:space="0" w:color="000000"/>
              <w:right w:val="single" w:sz="8" w:space="0" w:color="000000"/>
            </w:tcBorders>
            <w:vAlign w:val="center"/>
          </w:tcPr>
          <w:p w14:paraId="76EC89E4"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CODIFICADOR/DECODIFICADOR</w:t>
            </w:r>
          </w:p>
        </w:tc>
        <w:tc>
          <w:tcPr>
            <w:tcW w:w="1108" w:type="dxa"/>
            <w:tcBorders>
              <w:top w:val="nil"/>
              <w:left w:val="nil"/>
              <w:bottom w:val="single" w:sz="8" w:space="0" w:color="000000"/>
              <w:right w:val="single" w:sz="8" w:space="0" w:color="000000"/>
            </w:tcBorders>
            <w:vAlign w:val="center"/>
          </w:tcPr>
          <w:p w14:paraId="6B72D86E"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8</w:t>
            </w:r>
          </w:p>
        </w:tc>
        <w:tc>
          <w:tcPr>
            <w:tcW w:w="713" w:type="dxa"/>
            <w:tcBorders>
              <w:top w:val="nil"/>
              <w:left w:val="nil"/>
              <w:bottom w:val="single" w:sz="8" w:space="0" w:color="000000"/>
              <w:right w:val="nil"/>
            </w:tcBorders>
            <w:vAlign w:val="center"/>
          </w:tcPr>
          <w:p w14:paraId="2FE5D465"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1F11F7D7"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18.526.671</w:t>
            </w:r>
          </w:p>
        </w:tc>
      </w:tr>
      <w:tr w:rsidR="00BE6367" w14:paraId="7D79D58E"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1AEB6457"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34</w:t>
            </w:r>
          </w:p>
        </w:tc>
        <w:tc>
          <w:tcPr>
            <w:tcW w:w="3623" w:type="dxa"/>
            <w:tcBorders>
              <w:top w:val="nil"/>
              <w:left w:val="nil"/>
              <w:bottom w:val="single" w:sz="8" w:space="0" w:color="000000"/>
              <w:right w:val="single" w:sz="8" w:space="0" w:color="000000"/>
            </w:tcBorders>
            <w:vAlign w:val="center"/>
          </w:tcPr>
          <w:p w14:paraId="537526BC" w14:textId="77777777" w:rsidR="00BE6367" w:rsidRDefault="00C90F6A">
            <w:pPr>
              <w:ind w:firstLine="1760"/>
              <w:jc w:val="both"/>
              <w:rPr>
                <w:rFonts w:ascii="Arial" w:eastAsia="Arial" w:hAnsi="Arial" w:cs="Arial"/>
                <w:color w:val="000000"/>
                <w:sz w:val="20"/>
                <w:szCs w:val="20"/>
              </w:rPr>
            </w:pPr>
            <w:r>
              <w:rPr>
                <w:rFonts w:ascii="Arial" w:eastAsia="Arial" w:hAnsi="Arial" w:cs="Arial"/>
                <w:color w:val="000000"/>
                <w:sz w:val="20"/>
                <w:szCs w:val="20"/>
              </w:rPr>
              <w:t>CÁMARA PTZ</w:t>
            </w:r>
          </w:p>
        </w:tc>
        <w:tc>
          <w:tcPr>
            <w:tcW w:w="1108" w:type="dxa"/>
            <w:tcBorders>
              <w:top w:val="nil"/>
              <w:left w:val="nil"/>
              <w:bottom w:val="single" w:sz="8" w:space="0" w:color="000000"/>
              <w:right w:val="single" w:sz="8" w:space="0" w:color="000000"/>
            </w:tcBorders>
            <w:vAlign w:val="center"/>
          </w:tcPr>
          <w:p w14:paraId="505BDEED"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4</w:t>
            </w:r>
          </w:p>
        </w:tc>
        <w:tc>
          <w:tcPr>
            <w:tcW w:w="713" w:type="dxa"/>
            <w:tcBorders>
              <w:top w:val="nil"/>
              <w:left w:val="nil"/>
              <w:bottom w:val="single" w:sz="8" w:space="0" w:color="000000"/>
              <w:right w:val="nil"/>
            </w:tcBorders>
            <w:vAlign w:val="center"/>
          </w:tcPr>
          <w:p w14:paraId="6F8401C3"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3644839C"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23.898.040</w:t>
            </w:r>
          </w:p>
        </w:tc>
      </w:tr>
      <w:tr w:rsidR="00BE6367" w14:paraId="76F22A07" w14:textId="77777777">
        <w:trPr>
          <w:trHeight w:val="300"/>
        </w:trPr>
        <w:tc>
          <w:tcPr>
            <w:tcW w:w="1050" w:type="dxa"/>
            <w:tcBorders>
              <w:top w:val="nil"/>
              <w:left w:val="single" w:sz="8" w:space="0" w:color="000000"/>
              <w:bottom w:val="nil"/>
              <w:right w:val="single" w:sz="8" w:space="0" w:color="000000"/>
            </w:tcBorders>
            <w:vAlign w:val="center"/>
          </w:tcPr>
          <w:p w14:paraId="46029947"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3623" w:type="dxa"/>
            <w:vMerge w:val="restart"/>
            <w:tcBorders>
              <w:top w:val="nil"/>
              <w:left w:val="single" w:sz="8" w:space="0" w:color="000000"/>
              <w:bottom w:val="single" w:sz="8" w:space="0" w:color="000000"/>
              <w:right w:val="single" w:sz="8" w:space="0" w:color="000000"/>
            </w:tcBorders>
            <w:vAlign w:val="center"/>
          </w:tcPr>
          <w:p w14:paraId="6CBF19D3" w14:textId="77777777" w:rsidR="00BE6367" w:rsidRDefault="00C90F6A">
            <w:pPr>
              <w:ind w:firstLine="1540"/>
              <w:jc w:val="both"/>
              <w:rPr>
                <w:rFonts w:ascii="Arial" w:eastAsia="Arial" w:hAnsi="Arial" w:cs="Arial"/>
                <w:color w:val="000000"/>
                <w:sz w:val="20"/>
                <w:szCs w:val="20"/>
              </w:rPr>
            </w:pPr>
            <w:r>
              <w:rPr>
                <w:rFonts w:ascii="Arial" w:eastAsia="Arial" w:hAnsi="Arial" w:cs="Arial"/>
                <w:color w:val="000000"/>
                <w:sz w:val="20"/>
                <w:szCs w:val="20"/>
              </w:rPr>
              <w:t>SOLUCIÓN DE CONMUTACIÓN MULTICÁMARA</w:t>
            </w:r>
          </w:p>
        </w:tc>
        <w:tc>
          <w:tcPr>
            <w:tcW w:w="1108" w:type="dxa"/>
            <w:tcBorders>
              <w:top w:val="nil"/>
              <w:left w:val="nil"/>
              <w:bottom w:val="nil"/>
              <w:right w:val="single" w:sz="8" w:space="0" w:color="000000"/>
            </w:tcBorders>
            <w:vAlign w:val="center"/>
          </w:tcPr>
          <w:p w14:paraId="7A4E961B"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713" w:type="dxa"/>
            <w:tcBorders>
              <w:top w:val="nil"/>
              <w:left w:val="nil"/>
              <w:bottom w:val="nil"/>
              <w:right w:val="nil"/>
            </w:tcBorders>
            <w:vAlign w:val="center"/>
          </w:tcPr>
          <w:p w14:paraId="33E17DB9" w14:textId="77777777" w:rsidR="00BE6367" w:rsidRDefault="00BE6367">
            <w:pPr>
              <w:jc w:val="both"/>
              <w:rPr>
                <w:rFonts w:ascii="Arial" w:eastAsia="Arial" w:hAnsi="Arial" w:cs="Arial"/>
                <w:color w:val="000000"/>
                <w:sz w:val="20"/>
                <w:szCs w:val="20"/>
              </w:rPr>
            </w:pPr>
          </w:p>
        </w:tc>
        <w:tc>
          <w:tcPr>
            <w:tcW w:w="2324" w:type="dxa"/>
            <w:tcBorders>
              <w:top w:val="nil"/>
              <w:left w:val="nil"/>
              <w:bottom w:val="nil"/>
              <w:right w:val="single" w:sz="8" w:space="0" w:color="000000"/>
            </w:tcBorders>
            <w:vAlign w:val="center"/>
          </w:tcPr>
          <w:p w14:paraId="6CA0FC0B"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r>
      <w:tr w:rsidR="00BE6367" w14:paraId="7A59EB92"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43434E72"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35</w:t>
            </w:r>
          </w:p>
        </w:tc>
        <w:tc>
          <w:tcPr>
            <w:tcW w:w="3623" w:type="dxa"/>
            <w:vMerge/>
            <w:tcBorders>
              <w:top w:val="nil"/>
              <w:left w:val="single" w:sz="8" w:space="0" w:color="000000"/>
              <w:bottom w:val="single" w:sz="8" w:space="0" w:color="000000"/>
              <w:right w:val="single" w:sz="8" w:space="0" w:color="000000"/>
            </w:tcBorders>
            <w:vAlign w:val="center"/>
          </w:tcPr>
          <w:p w14:paraId="082547A8" w14:textId="77777777" w:rsidR="00BE6367" w:rsidRDefault="00BE6367">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tc>
        <w:tc>
          <w:tcPr>
            <w:tcW w:w="1108" w:type="dxa"/>
            <w:tcBorders>
              <w:top w:val="nil"/>
              <w:left w:val="nil"/>
              <w:bottom w:val="single" w:sz="8" w:space="0" w:color="000000"/>
              <w:right w:val="single" w:sz="8" w:space="0" w:color="000000"/>
            </w:tcBorders>
            <w:vAlign w:val="center"/>
          </w:tcPr>
          <w:p w14:paraId="193A9C26"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w:t>
            </w:r>
          </w:p>
        </w:tc>
        <w:tc>
          <w:tcPr>
            <w:tcW w:w="713" w:type="dxa"/>
            <w:tcBorders>
              <w:top w:val="nil"/>
              <w:left w:val="nil"/>
              <w:bottom w:val="single" w:sz="8" w:space="0" w:color="000000"/>
              <w:right w:val="nil"/>
            </w:tcBorders>
            <w:vAlign w:val="center"/>
          </w:tcPr>
          <w:p w14:paraId="78852668"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271F645C" w14:textId="77777777" w:rsidR="00BE6367" w:rsidRDefault="00C90F6A">
            <w:pPr>
              <w:ind w:firstLine="660"/>
              <w:jc w:val="both"/>
              <w:rPr>
                <w:rFonts w:ascii="Arial" w:eastAsia="Arial" w:hAnsi="Arial" w:cs="Arial"/>
                <w:color w:val="000000"/>
                <w:sz w:val="20"/>
                <w:szCs w:val="20"/>
              </w:rPr>
            </w:pPr>
            <w:r>
              <w:rPr>
                <w:rFonts w:ascii="Arial" w:eastAsia="Arial" w:hAnsi="Arial" w:cs="Arial"/>
                <w:color w:val="000000"/>
                <w:sz w:val="20"/>
                <w:szCs w:val="20"/>
              </w:rPr>
              <w:t>105.105.856</w:t>
            </w:r>
          </w:p>
        </w:tc>
      </w:tr>
      <w:tr w:rsidR="00BE6367" w14:paraId="1DF1144E" w14:textId="77777777">
        <w:trPr>
          <w:trHeight w:val="300"/>
        </w:trPr>
        <w:tc>
          <w:tcPr>
            <w:tcW w:w="1050" w:type="dxa"/>
            <w:tcBorders>
              <w:top w:val="nil"/>
              <w:left w:val="single" w:sz="8" w:space="0" w:color="000000"/>
              <w:bottom w:val="nil"/>
              <w:right w:val="single" w:sz="8" w:space="0" w:color="000000"/>
            </w:tcBorders>
            <w:vAlign w:val="center"/>
          </w:tcPr>
          <w:p w14:paraId="66AF2B2F"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3623" w:type="dxa"/>
            <w:vMerge w:val="restart"/>
            <w:tcBorders>
              <w:top w:val="nil"/>
              <w:left w:val="single" w:sz="8" w:space="0" w:color="000000"/>
              <w:bottom w:val="single" w:sz="8" w:space="0" w:color="000000"/>
              <w:right w:val="single" w:sz="8" w:space="0" w:color="000000"/>
            </w:tcBorders>
            <w:vAlign w:val="center"/>
          </w:tcPr>
          <w:p w14:paraId="6918A0AF" w14:textId="77777777" w:rsidR="00BE6367" w:rsidRDefault="00C90F6A">
            <w:pPr>
              <w:ind w:firstLine="1100"/>
              <w:jc w:val="both"/>
              <w:rPr>
                <w:rFonts w:ascii="Arial" w:eastAsia="Arial" w:hAnsi="Arial" w:cs="Arial"/>
                <w:color w:val="000000"/>
                <w:sz w:val="20"/>
                <w:szCs w:val="20"/>
              </w:rPr>
            </w:pPr>
            <w:r>
              <w:rPr>
                <w:rFonts w:ascii="Arial" w:eastAsia="Arial" w:hAnsi="Arial" w:cs="Arial"/>
                <w:color w:val="000000"/>
                <w:sz w:val="20"/>
                <w:szCs w:val="20"/>
              </w:rPr>
              <w:t>SISTEMA INTEGRADO DE VIDEOCONFERENCIA</w:t>
            </w:r>
          </w:p>
        </w:tc>
        <w:tc>
          <w:tcPr>
            <w:tcW w:w="1108" w:type="dxa"/>
            <w:tcBorders>
              <w:top w:val="nil"/>
              <w:left w:val="nil"/>
              <w:bottom w:val="nil"/>
              <w:right w:val="single" w:sz="8" w:space="0" w:color="000000"/>
            </w:tcBorders>
            <w:vAlign w:val="center"/>
          </w:tcPr>
          <w:p w14:paraId="70D94804"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713" w:type="dxa"/>
            <w:tcBorders>
              <w:top w:val="nil"/>
              <w:left w:val="nil"/>
              <w:bottom w:val="nil"/>
              <w:right w:val="nil"/>
            </w:tcBorders>
            <w:vAlign w:val="center"/>
          </w:tcPr>
          <w:p w14:paraId="5AACB79D" w14:textId="77777777" w:rsidR="00BE6367" w:rsidRDefault="00BE6367">
            <w:pPr>
              <w:jc w:val="both"/>
              <w:rPr>
                <w:rFonts w:ascii="Arial" w:eastAsia="Arial" w:hAnsi="Arial" w:cs="Arial"/>
                <w:color w:val="000000"/>
                <w:sz w:val="20"/>
                <w:szCs w:val="20"/>
              </w:rPr>
            </w:pPr>
          </w:p>
        </w:tc>
        <w:tc>
          <w:tcPr>
            <w:tcW w:w="2324" w:type="dxa"/>
            <w:tcBorders>
              <w:top w:val="nil"/>
              <w:left w:val="nil"/>
              <w:bottom w:val="nil"/>
              <w:right w:val="single" w:sz="8" w:space="0" w:color="000000"/>
            </w:tcBorders>
            <w:vAlign w:val="center"/>
          </w:tcPr>
          <w:p w14:paraId="2F0CED1C"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r>
      <w:tr w:rsidR="00BE6367" w14:paraId="5C341CFC"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44A4B29A"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36</w:t>
            </w:r>
          </w:p>
        </w:tc>
        <w:tc>
          <w:tcPr>
            <w:tcW w:w="3623" w:type="dxa"/>
            <w:vMerge/>
            <w:tcBorders>
              <w:top w:val="nil"/>
              <w:left w:val="single" w:sz="8" w:space="0" w:color="000000"/>
              <w:bottom w:val="single" w:sz="8" w:space="0" w:color="000000"/>
              <w:right w:val="single" w:sz="8" w:space="0" w:color="000000"/>
            </w:tcBorders>
            <w:vAlign w:val="center"/>
          </w:tcPr>
          <w:p w14:paraId="7D64959C" w14:textId="77777777" w:rsidR="00BE6367" w:rsidRDefault="00BE6367">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tc>
        <w:tc>
          <w:tcPr>
            <w:tcW w:w="1108" w:type="dxa"/>
            <w:tcBorders>
              <w:top w:val="nil"/>
              <w:left w:val="nil"/>
              <w:bottom w:val="single" w:sz="8" w:space="0" w:color="000000"/>
              <w:right w:val="single" w:sz="8" w:space="0" w:color="000000"/>
            </w:tcBorders>
            <w:vAlign w:val="center"/>
          </w:tcPr>
          <w:p w14:paraId="16CC6F72"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w:t>
            </w:r>
          </w:p>
        </w:tc>
        <w:tc>
          <w:tcPr>
            <w:tcW w:w="713" w:type="dxa"/>
            <w:tcBorders>
              <w:top w:val="nil"/>
              <w:left w:val="nil"/>
              <w:bottom w:val="single" w:sz="8" w:space="0" w:color="000000"/>
              <w:right w:val="nil"/>
            </w:tcBorders>
            <w:vAlign w:val="center"/>
          </w:tcPr>
          <w:p w14:paraId="3BDC1FF0"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06C20485"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44.825.895</w:t>
            </w:r>
          </w:p>
        </w:tc>
      </w:tr>
      <w:tr w:rsidR="00BE6367" w14:paraId="3CDD280C"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5648D200"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37</w:t>
            </w:r>
          </w:p>
        </w:tc>
        <w:tc>
          <w:tcPr>
            <w:tcW w:w="3623" w:type="dxa"/>
            <w:tcBorders>
              <w:top w:val="nil"/>
              <w:left w:val="nil"/>
              <w:bottom w:val="single" w:sz="8" w:space="0" w:color="000000"/>
              <w:right w:val="single" w:sz="8" w:space="0" w:color="000000"/>
            </w:tcBorders>
            <w:vAlign w:val="center"/>
          </w:tcPr>
          <w:p w14:paraId="42AD3DC4"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ALTAVOZ PROFESIONAL</w:t>
            </w:r>
          </w:p>
        </w:tc>
        <w:tc>
          <w:tcPr>
            <w:tcW w:w="1108" w:type="dxa"/>
            <w:tcBorders>
              <w:top w:val="nil"/>
              <w:left w:val="nil"/>
              <w:bottom w:val="single" w:sz="8" w:space="0" w:color="000000"/>
              <w:right w:val="single" w:sz="8" w:space="0" w:color="000000"/>
            </w:tcBorders>
            <w:vAlign w:val="center"/>
          </w:tcPr>
          <w:p w14:paraId="0B275409"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60</w:t>
            </w:r>
          </w:p>
        </w:tc>
        <w:tc>
          <w:tcPr>
            <w:tcW w:w="713" w:type="dxa"/>
            <w:tcBorders>
              <w:top w:val="nil"/>
              <w:left w:val="nil"/>
              <w:bottom w:val="single" w:sz="8" w:space="0" w:color="000000"/>
              <w:right w:val="nil"/>
            </w:tcBorders>
            <w:vAlign w:val="center"/>
          </w:tcPr>
          <w:p w14:paraId="7ECF89D9" w14:textId="77777777" w:rsidR="00BE6367" w:rsidRDefault="00C90F6A">
            <w:pPr>
              <w:ind w:firstLine="44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7AE84CF4" w14:textId="77777777" w:rsidR="00BE6367" w:rsidRDefault="00C90F6A">
            <w:pPr>
              <w:ind w:firstLine="1100"/>
              <w:jc w:val="both"/>
              <w:rPr>
                <w:rFonts w:ascii="Arial" w:eastAsia="Arial" w:hAnsi="Arial" w:cs="Arial"/>
                <w:color w:val="000000"/>
                <w:sz w:val="20"/>
                <w:szCs w:val="20"/>
              </w:rPr>
            </w:pPr>
            <w:r>
              <w:rPr>
                <w:rFonts w:ascii="Arial" w:eastAsia="Arial" w:hAnsi="Arial" w:cs="Arial"/>
                <w:color w:val="000000"/>
                <w:sz w:val="20"/>
                <w:szCs w:val="20"/>
              </w:rPr>
              <w:t>5.752.327</w:t>
            </w:r>
          </w:p>
        </w:tc>
      </w:tr>
      <w:tr w:rsidR="00BE6367" w14:paraId="414A395D"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0B56347F"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38</w:t>
            </w:r>
          </w:p>
        </w:tc>
        <w:tc>
          <w:tcPr>
            <w:tcW w:w="3623" w:type="dxa"/>
            <w:tcBorders>
              <w:top w:val="nil"/>
              <w:left w:val="nil"/>
              <w:bottom w:val="single" w:sz="8" w:space="0" w:color="000000"/>
              <w:right w:val="single" w:sz="8" w:space="0" w:color="000000"/>
            </w:tcBorders>
            <w:vAlign w:val="center"/>
          </w:tcPr>
          <w:p w14:paraId="0528A157"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SOLUCIÓN COMPLETA DE VIDEO</w:t>
            </w:r>
          </w:p>
        </w:tc>
        <w:tc>
          <w:tcPr>
            <w:tcW w:w="1108" w:type="dxa"/>
            <w:tcBorders>
              <w:top w:val="nil"/>
              <w:left w:val="nil"/>
              <w:bottom w:val="single" w:sz="8" w:space="0" w:color="000000"/>
              <w:right w:val="single" w:sz="8" w:space="0" w:color="000000"/>
            </w:tcBorders>
            <w:vAlign w:val="center"/>
          </w:tcPr>
          <w:p w14:paraId="02C238BD"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60</w:t>
            </w:r>
          </w:p>
        </w:tc>
        <w:tc>
          <w:tcPr>
            <w:tcW w:w="713" w:type="dxa"/>
            <w:tcBorders>
              <w:top w:val="nil"/>
              <w:left w:val="nil"/>
              <w:bottom w:val="single" w:sz="8" w:space="0" w:color="000000"/>
              <w:right w:val="nil"/>
            </w:tcBorders>
            <w:vAlign w:val="center"/>
          </w:tcPr>
          <w:p w14:paraId="70074BA0"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62ED3655"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29.772.516</w:t>
            </w:r>
          </w:p>
        </w:tc>
      </w:tr>
      <w:tr w:rsidR="00BE6367" w14:paraId="298917AA" w14:textId="77777777">
        <w:trPr>
          <w:trHeight w:val="615"/>
        </w:trPr>
        <w:tc>
          <w:tcPr>
            <w:tcW w:w="1050" w:type="dxa"/>
            <w:tcBorders>
              <w:top w:val="nil"/>
              <w:left w:val="single" w:sz="8" w:space="0" w:color="000000"/>
              <w:bottom w:val="single" w:sz="8" w:space="0" w:color="000000"/>
              <w:right w:val="single" w:sz="8" w:space="0" w:color="000000"/>
            </w:tcBorders>
            <w:vAlign w:val="center"/>
          </w:tcPr>
          <w:p w14:paraId="5787807F"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39</w:t>
            </w:r>
          </w:p>
        </w:tc>
        <w:tc>
          <w:tcPr>
            <w:tcW w:w="3623" w:type="dxa"/>
            <w:tcBorders>
              <w:top w:val="nil"/>
              <w:left w:val="nil"/>
              <w:bottom w:val="single" w:sz="8" w:space="0" w:color="000000"/>
              <w:right w:val="single" w:sz="8" w:space="0" w:color="000000"/>
            </w:tcBorders>
            <w:vAlign w:val="center"/>
          </w:tcPr>
          <w:p w14:paraId="04596E91"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UNIDAD CENTRAL DE CONFERENCIA</w:t>
            </w:r>
          </w:p>
        </w:tc>
        <w:tc>
          <w:tcPr>
            <w:tcW w:w="1108" w:type="dxa"/>
            <w:tcBorders>
              <w:top w:val="nil"/>
              <w:left w:val="nil"/>
              <w:bottom w:val="single" w:sz="8" w:space="0" w:color="000000"/>
              <w:right w:val="single" w:sz="8" w:space="0" w:color="000000"/>
            </w:tcBorders>
            <w:vAlign w:val="center"/>
          </w:tcPr>
          <w:p w14:paraId="75F36FC3"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w:t>
            </w:r>
          </w:p>
        </w:tc>
        <w:tc>
          <w:tcPr>
            <w:tcW w:w="713" w:type="dxa"/>
            <w:tcBorders>
              <w:top w:val="nil"/>
              <w:left w:val="nil"/>
              <w:bottom w:val="single" w:sz="8" w:space="0" w:color="000000"/>
              <w:right w:val="nil"/>
            </w:tcBorders>
            <w:vAlign w:val="center"/>
          </w:tcPr>
          <w:p w14:paraId="171389CC"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639A179F"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47.640.692</w:t>
            </w:r>
          </w:p>
        </w:tc>
      </w:tr>
      <w:tr w:rsidR="00BE6367" w14:paraId="647EDE54"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0B5D93A0"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40</w:t>
            </w:r>
          </w:p>
        </w:tc>
        <w:tc>
          <w:tcPr>
            <w:tcW w:w="3623" w:type="dxa"/>
            <w:tcBorders>
              <w:top w:val="nil"/>
              <w:left w:val="nil"/>
              <w:bottom w:val="single" w:sz="8" w:space="0" w:color="000000"/>
              <w:right w:val="single" w:sz="8" w:space="0" w:color="000000"/>
            </w:tcBorders>
            <w:vAlign w:val="center"/>
          </w:tcPr>
          <w:p w14:paraId="1FF523D0" w14:textId="77777777" w:rsidR="00BE6367" w:rsidRDefault="00C90F6A">
            <w:pPr>
              <w:ind w:firstLine="1100"/>
              <w:jc w:val="both"/>
              <w:rPr>
                <w:rFonts w:ascii="Arial" w:eastAsia="Arial" w:hAnsi="Arial" w:cs="Arial"/>
                <w:color w:val="000000"/>
                <w:sz w:val="20"/>
                <w:szCs w:val="20"/>
              </w:rPr>
            </w:pPr>
            <w:r>
              <w:rPr>
                <w:rFonts w:ascii="Arial" w:eastAsia="Arial" w:hAnsi="Arial" w:cs="Arial"/>
                <w:color w:val="000000"/>
                <w:sz w:val="20"/>
                <w:szCs w:val="20"/>
              </w:rPr>
              <w:t>MICRÓFONO 50 CMS</w:t>
            </w:r>
          </w:p>
        </w:tc>
        <w:tc>
          <w:tcPr>
            <w:tcW w:w="1108" w:type="dxa"/>
            <w:tcBorders>
              <w:top w:val="nil"/>
              <w:left w:val="nil"/>
              <w:bottom w:val="single" w:sz="8" w:space="0" w:color="000000"/>
              <w:right w:val="single" w:sz="8" w:space="0" w:color="000000"/>
            </w:tcBorders>
            <w:vAlign w:val="center"/>
          </w:tcPr>
          <w:p w14:paraId="1A6BAF5E"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6</w:t>
            </w:r>
          </w:p>
        </w:tc>
        <w:tc>
          <w:tcPr>
            <w:tcW w:w="713" w:type="dxa"/>
            <w:tcBorders>
              <w:top w:val="nil"/>
              <w:left w:val="nil"/>
              <w:bottom w:val="single" w:sz="8" w:space="0" w:color="000000"/>
              <w:right w:val="nil"/>
            </w:tcBorders>
            <w:vAlign w:val="center"/>
          </w:tcPr>
          <w:p w14:paraId="30336398" w14:textId="77777777" w:rsidR="00BE6367" w:rsidRDefault="00C90F6A">
            <w:pPr>
              <w:ind w:firstLine="44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3E808BC5" w14:textId="77777777" w:rsidR="00BE6367" w:rsidRDefault="00C90F6A">
            <w:pPr>
              <w:ind w:firstLine="1100"/>
              <w:jc w:val="both"/>
              <w:rPr>
                <w:rFonts w:ascii="Arial" w:eastAsia="Arial" w:hAnsi="Arial" w:cs="Arial"/>
                <w:color w:val="000000"/>
                <w:sz w:val="20"/>
                <w:szCs w:val="20"/>
              </w:rPr>
            </w:pPr>
            <w:r>
              <w:rPr>
                <w:rFonts w:ascii="Arial" w:eastAsia="Arial" w:hAnsi="Arial" w:cs="Arial"/>
                <w:color w:val="000000"/>
                <w:sz w:val="20"/>
                <w:szCs w:val="20"/>
              </w:rPr>
              <w:t>2.108.148</w:t>
            </w:r>
          </w:p>
        </w:tc>
      </w:tr>
      <w:tr w:rsidR="00BE6367" w14:paraId="7024EA49"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72242D94"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41</w:t>
            </w:r>
          </w:p>
        </w:tc>
        <w:tc>
          <w:tcPr>
            <w:tcW w:w="3623" w:type="dxa"/>
            <w:tcBorders>
              <w:top w:val="nil"/>
              <w:left w:val="nil"/>
              <w:bottom w:val="single" w:sz="8" w:space="0" w:color="000000"/>
              <w:right w:val="single" w:sz="8" w:space="0" w:color="000000"/>
            </w:tcBorders>
            <w:vAlign w:val="center"/>
          </w:tcPr>
          <w:p w14:paraId="70F58AA3"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UNIDAD DE PRESIDENTE</w:t>
            </w:r>
          </w:p>
        </w:tc>
        <w:tc>
          <w:tcPr>
            <w:tcW w:w="1108" w:type="dxa"/>
            <w:tcBorders>
              <w:top w:val="nil"/>
              <w:left w:val="nil"/>
              <w:bottom w:val="single" w:sz="8" w:space="0" w:color="000000"/>
              <w:right w:val="single" w:sz="8" w:space="0" w:color="000000"/>
            </w:tcBorders>
            <w:vAlign w:val="center"/>
          </w:tcPr>
          <w:p w14:paraId="16D4836E"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w:t>
            </w:r>
          </w:p>
        </w:tc>
        <w:tc>
          <w:tcPr>
            <w:tcW w:w="713" w:type="dxa"/>
            <w:tcBorders>
              <w:top w:val="nil"/>
              <w:left w:val="nil"/>
              <w:bottom w:val="single" w:sz="8" w:space="0" w:color="000000"/>
              <w:right w:val="nil"/>
            </w:tcBorders>
            <w:vAlign w:val="center"/>
          </w:tcPr>
          <w:p w14:paraId="71C2E24F" w14:textId="77777777" w:rsidR="00BE6367" w:rsidRDefault="00C90F6A">
            <w:pPr>
              <w:ind w:firstLine="44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5C70D840" w14:textId="77777777" w:rsidR="00BE6367" w:rsidRDefault="00C90F6A">
            <w:pPr>
              <w:ind w:firstLine="1100"/>
              <w:jc w:val="both"/>
              <w:rPr>
                <w:rFonts w:ascii="Arial" w:eastAsia="Arial" w:hAnsi="Arial" w:cs="Arial"/>
                <w:color w:val="000000"/>
                <w:sz w:val="20"/>
                <w:szCs w:val="20"/>
              </w:rPr>
            </w:pPr>
            <w:r>
              <w:rPr>
                <w:rFonts w:ascii="Arial" w:eastAsia="Arial" w:hAnsi="Arial" w:cs="Arial"/>
                <w:color w:val="000000"/>
                <w:sz w:val="20"/>
                <w:szCs w:val="20"/>
              </w:rPr>
              <w:t>6.777.703</w:t>
            </w:r>
          </w:p>
        </w:tc>
      </w:tr>
      <w:tr w:rsidR="00BE6367" w14:paraId="48512CB3"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533CE6F5"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42</w:t>
            </w:r>
          </w:p>
        </w:tc>
        <w:tc>
          <w:tcPr>
            <w:tcW w:w="3623" w:type="dxa"/>
            <w:tcBorders>
              <w:top w:val="nil"/>
              <w:left w:val="nil"/>
              <w:bottom w:val="single" w:sz="8" w:space="0" w:color="000000"/>
              <w:right w:val="single" w:sz="8" w:space="0" w:color="000000"/>
            </w:tcBorders>
            <w:vAlign w:val="center"/>
          </w:tcPr>
          <w:p w14:paraId="62752955"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UNIDAD DE DELEGADO</w:t>
            </w:r>
          </w:p>
        </w:tc>
        <w:tc>
          <w:tcPr>
            <w:tcW w:w="1108" w:type="dxa"/>
            <w:tcBorders>
              <w:top w:val="nil"/>
              <w:left w:val="nil"/>
              <w:bottom w:val="single" w:sz="8" w:space="0" w:color="000000"/>
              <w:right w:val="single" w:sz="8" w:space="0" w:color="000000"/>
            </w:tcBorders>
            <w:vAlign w:val="center"/>
          </w:tcPr>
          <w:p w14:paraId="43BF8409"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5</w:t>
            </w:r>
          </w:p>
        </w:tc>
        <w:tc>
          <w:tcPr>
            <w:tcW w:w="713" w:type="dxa"/>
            <w:tcBorders>
              <w:top w:val="nil"/>
              <w:left w:val="nil"/>
              <w:bottom w:val="single" w:sz="8" w:space="0" w:color="000000"/>
              <w:right w:val="nil"/>
            </w:tcBorders>
            <w:vAlign w:val="center"/>
          </w:tcPr>
          <w:p w14:paraId="2539252A" w14:textId="77777777" w:rsidR="00BE6367" w:rsidRDefault="00C90F6A">
            <w:pPr>
              <w:ind w:firstLine="44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1C537235" w14:textId="77777777" w:rsidR="00BE6367" w:rsidRDefault="00C90F6A">
            <w:pPr>
              <w:ind w:firstLine="1100"/>
              <w:jc w:val="both"/>
              <w:rPr>
                <w:rFonts w:ascii="Arial" w:eastAsia="Arial" w:hAnsi="Arial" w:cs="Arial"/>
                <w:color w:val="000000"/>
                <w:sz w:val="20"/>
                <w:szCs w:val="20"/>
              </w:rPr>
            </w:pPr>
            <w:r>
              <w:rPr>
                <w:rFonts w:ascii="Arial" w:eastAsia="Arial" w:hAnsi="Arial" w:cs="Arial"/>
                <w:color w:val="000000"/>
                <w:sz w:val="20"/>
                <w:szCs w:val="20"/>
              </w:rPr>
              <w:t>5.539.885</w:t>
            </w:r>
          </w:p>
        </w:tc>
      </w:tr>
      <w:tr w:rsidR="00BE6367" w14:paraId="1694F67F" w14:textId="77777777">
        <w:trPr>
          <w:trHeight w:val="300"/>
        </w:trPr>
        <w:tc>
          <w:tcPr>
            <w:tcW w:w="1050" w:type="dxa"/>
            <w:tcBorders>
              <w:top w:val="nil"/>
              <w:left w:val="single" w:sz="8" w:space="0" w:color="000000"/>
              <w:bottom w:val="nil"/>
              <w:right w:val="single" w:sz="8" w:space="0" w:color="000000"/>
            </w:tcBorders>
            <w:vAlign w:val="center"/>
          </w:tcPr>
          <w:p w14:paraId="6D2CB9DF"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3623" w:type="dxa"/>
            <w:vMerge w:val="restart"/>
            <w:tcBorders>
              <w:top w:val="nil"/>
              <w:left w:val="single" w:sz="8" w:space="0" w:color="000000"/>
              <w:bottom w:val="single" w:sz="8" w:space="0" w:color="000000"/>
              <w:right w:val="single" w:sz="8" w:space="0" w:color="000000"/>
            </w:tcBorders>
            <w:vAlign w:val="center"/>
          </w:tcPr>
          <w:p w14:paraId="67E3A0F6" w14:textId="77777777" w:rsidR="00BE6367" w:rsidRDefault="00C90F6A">
            <w:pPr>
              <w:ind w:firstLine="1980"/>
              <w:jc w:val="both"/>
              <w:rPr>
                <w:rFonts w:ascii="Arial" w:eastAsia="Arial" w:hAnsi="Arial" w:cs="Arial"/>
                <w:color w:val="000000"/>
                <w:sz w:val="20"/>
                <w:szCs w:val="20"/>
              </w:rPr>
            </w:pPr>
            <w:r>
              <w:rPr>
                <w:rFonts w:ascii="Arial" w:eastAsia="Arial" w:hAnsi="Arial" w:cs="Arial"/>
                <w:color w:val="000000"/>
                <w:sz w:val="20"/>
                <w:szCs w:val="20"/>
              </w:rPr>
              <w:t>PROCESADOR DE SEÑALES DIGITALES</w:t>
            </w:r>
          </w:p>
        </w:tc>
        <w:tc>
          <w:tcPr>
            <w:tcW w:w="1108" w:type="dxa"/>
            <w:tcBorders>
              <w:top w:val="nil"/>
              <w:left w:val="nil"/>
              <w:bottom w:val="nil"/>
              <w:right w:val="single" w:sz="8" w:space="0" w:color="000000"/>
            </w:tcBorders>
            <w:vAlign w:val="center"/>
          </w:tcPr>
          <w:p w14:paraId="22A2EE70"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713" w:type="dxa"/>
            <w:tcBorders>
              <w:top w:val="nil"/>
              <w:left w:val="nil"/>
              <w:bottom w:val="nil"/>
              <w:right w:val="nil"/>
            </w:tcBorders>
            <w:vAlign w:val="center"/>
          </w:tcPr>
          <w:p w14:paraId="5FA1F5D5" w14:textId="77777777" w:rsidR="00BE6367" w:rsidRDefault="00BE6367">
            <w:pPr>
              <w:jc w:val="both"/>
              <w:rPr>
                <w:rFonts w:ascii="Arial" w:eastAsia="Arial" w:hAnsi="Arial" w:cs="Arial"/>
                <w:color w:val="000000"/>
                <w:sz w:val="20"/>
                <w:szCs w:val="20"/>
              </w:rPr>
            </w:pPr>
          </w:p>
        </w:tc>
        <w:tc>
          <w:tcPr>
            <w:tcW w:w="2324" w:type="dxa"/>
            <w:tcBorders>
              <w:top w:val="nil"/>
              <w:left w:val="nil"/>
              <w:bottom w:val="nil"/>
              <w:right w:val="single" w:sz="8" w:space="0" w:color="000000"/>
            </w:tcBorders>
            <w:vAlign w:val="center"/>
          </w:tcPr>
          <w:p w14:paraId="6360E097"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r>
      <w:tr w:rsidR="00BE6367" w14:paraId="15E2C6C5"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6BC1205B"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43</w:t>
            </w:r>
          </w:p>
        </w:tc>
        <w:tc>
          <w:tcPr>
            <w:tcW w:w="3623" w:type="dxa"/>
            <w:vMerge/>
            <w:tcBorders>
              <w:top w:val="nil"/>
              <w:left w:val="single" w:sz="8" w:space="0" w:color="000000"/>
              <w:bottom w:val="single" w:sz="8" w:space="0" w:color="000000"/>
              <w:right w:val="single" w:sz="8" w:space="0" w:color="000000"/>
            </w:tcBorders>
            <w:vAlign w:val="center"/>
          </w:tcPr>
          <w:p w14:paraId="6B032211" w14:textId="77777777" w:rsidR="00BE6367" w:rsidRDefault="00BE6367">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tc>
        <w:tc>
          <w:tcPr>
            <w:tcW w:w="1108" w:type="dxa"/>
            <w:tcBorders>
              <w:top w:val="nil"/>
              <w:left w:val="nil"/>
              <w:bottom w:val="single" w:sz="8" w:space="0" w:color="000000"/>
              <w:right w:val="single" w:sz="8" w:space="0" w:color="000000"/>
            </w:tcBorders>
            <w:vAlign w:val="center"/>
          </w:tcPr>
          <w:p w14:paraId="723ECC4D"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w:t>
            </w:r>
          </w:p>
        </w:tc>
        <w:tc>
          <w:tcPr>
            <w:tcW w:w="713" w:type="dxa"/>
            <w:tcBorders>
              <w:top w:val="nil"/>
              <w:left w:val="nil"/>
              <w:bottom w:val="single" w:sz="8" w:space="0" w:color="000000"/>
              <w:right w:val="nil"/>
            </w:tcBorders>
            <w:vAlign w:val="center"/>
          </w:tcPr>
          <w:p w14:paraId="6E3095FD"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58F6FA07"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42.910.007</w:t>
            </w:r>
          </w:p>
        </w:tc>
      </w:tr>
      <w:tr w:rsidR="00BE6367" w14:paraId="3743A758"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37F04072"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lastRenderedPageBreak/>
              <w:t>44</w:t>
            </w:r>
          </w:p>
        </w:tc>
        <w:tc>
          <w:tcPr>
            <w:tcW w:w="3623" w:type="dxa"/>
            <w:tcBorders>
              <w:top w:val="nil"/>
              <w:left w:val="nil"/>
              <w:bottom w:val="single" w:sz="8" w:space="0" w:color="000000"/>
              <w:right w:val="single" w:sz="8" w:space="0" w:color="000000"/>
            </w:tcBorders>
            <w:vAlign w:val="center"/>
          </w:tcPr>
          <w:p w14:paraId="16E516D4" w14:textId="77777777" w:rsidR="00BE6367" w:rsidRDefault="00C90F6A">
            <w:pPr>
              <w:ind w:firstLine="660"/>
              <w:jc w:val="both"/>
              <w:rPr>
                <w:rFonts w:ascii="Arial" w:eastAsia="Arial" w:hAnsi="Arial" w:cs="Arial"/>
                <w:color w:val="000000"/>
                <w:sz w:val="20"/>
                <w:szCs w:val="20"/>
              </w:rPr>
            </w:pPr>
            <w:r>
              <w:rPr>
                <w:rFonts w:ascii="Arial" w:eastAsia="Arial" w:hAnsi="Arial" w:cs="Arial"/>
                <w:color w:val="000000"/>
                <w:sz w:val="20"/>
                <w:szCs w:val="20"/>
              </w:rPr>
              <w:t>AMPLIFICADOR DE SONIDO</w:t>
            </w:r>
          </w:p>
        </w:tc>
        <w:tc>
          <w:tcPr>
            <w:tcW w:w="1108" w:type="dxa"/>
            <w:tcBorders>
              <w:top w:val="nil"/>
              <w:left w:val="nil"/>
              <w:bottom w:val="single" w:sz="8" w:space="0" w:color="000000"/>
              <w:right w:val="single" w:sz="8" w:space="0" w:color="000000"/>
            </w:tcBorders>
            <w:vAlign w:val="center"/>
          </w:tcPr>
          <w:p w14:paraId="6DA98C71"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2</w:t>
            </w:r>
          </w:p>
        </w:tc>
        <w:tc>
          <w:tcPr>
            <w:tcW w:w="713" w:type="dxa"/>
            <w:tcBorders>
              <w:top w:val="nil"/>
              <w:left w:val="nil"/>
              <w:bottom w:val="single" w:sz="8" w:space="0" w:color="000000"/>
              <w:right w:val="nil"/>
            </w:tcBorders>
            <w:vAlign w:val="center"/>
          </w:tcPr>
          <w:p w14:paraId="1C7DCB8E" w14:textId="77777777" w:rsidR="00BE6367" w:rsidRDefault="00C90F6A">
            <w:pPr>
              <w:ind w:firstLine="44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20F6CDD8" w14:textId="77777777" w:rsidR="00BE6367" w:rsidRDefault="00C90F6A">
            <w:pPr>
              <w:ind w:firstLine="1100"/>
              <w:jc w:val="both"/>
              <w:rPr>
                <w:rFonts w:ascii="Arial" w:eastAsia="Arial" w:hAnsi="Arial" w:cs="Arial"/>
                <w:color w:val="000000"/>
                <w:sz w:val="20"/>
                <w:szCs w:val="20"/>
              </w:rPr>
            </w:pPr>
            <w:r>
              <w:rPr>
                <w:rFonts w:ascii="Arial" w:eastAsia="Arial" w:hAnsi="Arial" w:cs="Arial"/>
                <w:color w:val="000000"/>
                <w:sz w:val="20"/>
                <w:szCs w:val="20"/>
              </w:rPr>
              <w:t>6.650.063</w:t>
            </w:r>
          </w:p>
        </w:tc>
      </w:tr>
      <w:tr w:rsidR="00BE6367" w14:paraId="31C87429"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3977A692"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45</w:t>
            </w:r>
          </w:p>
        </w:tc>
        <w:tc>
          <w:tcPr>
            <w:tcW w:w="3623" w:type="dxa"/>
            <w:tcBorders>
              <w:top w:val="nil"/>
              <w:left w:val="nil"/>
              <w:bottom w:val="single" w:sz="8" w:space="0" w:color="000000"/>
              <w:right w:val="single" w:sz="8" w:space="0" w:color="000000"/>
            </w:tcBorders>
            <w:vAlign w:val="center"/>
          </w:tcPr>
          <w:p w14:paraId="3E3E1372" w14:textId="77777777" w:rsidR="00BE6367" w:rsidRDefault="00C90F6A">
            <w:pPr>
              <w:ind w:firstLine="1100"/>
              <w:jc w:val="both"/>
              <w:rPr>
                <w:rFonts w:ascii="Arial" w:eastAsia="Arial" w:hAnsi="Arial" w:cs="Arial"/>
                <w:color w:val="000000"/>
                <w:sz w:val="20"/>
                <w:szCs w:val="20"/>
              </w:rPr>
            </w:pPr>
            <w:r>
              <w:rPr>
                <w:rFonts w:ascii="Arial" w:eastAsia="Arial" w:hAnsi="Arial" w:cs="Arial"/>
                <w:color w:val="000000"/>
                <w:sz w:val="20"/>
                <w:szCs w:val="20"/>
              </w:rPr>
              <w:t>PARLANTE DE TECHO</w:t>
            </w:r>
          </w:p>
        </w:tc>
        <w:tc>
          <w:tcPr>
            <w:tcW w:w="1108" w:type="dxa"/>
            <w:tcBorders>
              <w:top w:val="nil"/>
              <w:left w:val="nil"/>
              <w:bottom w:val="single" w:sz="8" w:space="0" w:color="000000"/>
              <w:right w:val="single" w:sz="8" w:space="0" w:color="000000"/>
            </w:tcBorders>
            <w:vAlign w:val="center"/>
          </w:tcPr>
          <w:p w14:paraId="6E7CBF2C"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6</w:t>
            </w:r>
          </w:p>
        </w:tc>
        <w:tc>
          <w:tcPr>
            <w:tcW w:w="713" w:type="dxa"/>
            <w:tcBorders>
              <w:top w:val="nil"/>
              <w:left w:val="nil"/>
              <w:bottom w:val="single" w:sz="8" w:space="0" w:color="000000"/>
              <w:right w:val="nil"/>
            </w:tcBorders>
            <w:vAlign w:val="center"/>
          </w:tcPr>
          <w:p w14:paraId="42BEF51E" w14:textId="77777777" w:rsidR="00BE6367" w:rsidRDefault="00C90F6A">
            <w:pPr>
              <w:ind w:firstLine="44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32CE5CBC" w14:textId="77777777" w:rsidR="00BE6367" w:rsidRDefault="00C90F6A">
            <w:pPr>
              <w:ind w:firstLine="1100"/>
              <w:jc w:val="both"/>
              <w:rPr>
                <w:rFonts w:ascii="Arial" w:eastAsia="Arial" w:hAnsi="Arial" w:cs="Arial"/>
                <w:color w:val="000000"/>
                <w:sz w:val="20"/>
                <w:szCs w:val="20"/>
              </w:rPr>
            </w:pPr>
            <w:r>
              <w:rPr>
                <w:rFonts w:ascii="Arial" w:eastAsia="Arial" w:hAnsi="Arial" w:cs="Arial"/>
                <w:color w:val="000000"/>
                <w:sz w:val="20"/>
                <w:szCs w:val="20"/>
              </w:rPr>
              <w:t>1.782.491</w:t>
            </w:r>
          </w:p>
        </w:tc>
      </w:tr>
      <w:tr w:rsidR="00BE6367" w14:paraId="1087A194"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721D16E4"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46</w:t>
            </w:r>
          </w:p>
        </w:tc>
        <w:tc>
          <w:tcPr>
            <w:tcW w:w="3623" w:type="dxa"/>
            <w:tcBorders>
              <w:top w:val="nil"/>
              <w:left w:val="nil"/>
              <w:bottom w:val="single" w:sz="8" w:space="0" w:color="000000"/>
              <w:right w:val="single" w:sz="8" w:space="0" w:color="000000"/>
            </w:tcBorders>
            <w:vAlign w:val="center"/>
          </w:tcPr>
          <w:p w14:paraId="61042C67" w14:textId="77777777" w:rsidR="00BE6367" w:rsidRDefault="00C90F6A">
            <w:pPr>
              <w:ind w:firstLine="1540"/>
              <w:jc w:val="both"/>
              <w:rPr>
                <w:rFonts w:ascii="Arial" w:eastAsia="Arial" w:hAnsi="Arial" w:cs="Arial"/>
                <w:color w:val="000000"/>
                <w:sz w:val="20"/>
                <w:szCs w:val="20"/>
              </w:rPr>
            </w:pPr>
            <w:r>
              <w:rPr>
                <w:rFonts w:ascii="Arial" w:eastAsia="Arial" w:hAnsi="Arial" w:cs="Arial"/>
                <w:color w:val="000000"/>
                <w:sz w:val="20"/>
                <w:szCs w:val="20"/>
              </w:rPr>
              <w:t>CONTROLADOR</w:t>
            </w:r>
          </w:p>
        </w:tc>
        <w:tc>
          <w:tcPr>
            <w:tcW w:w="1108" w:type="dxa"/>
            <w:tcBorders>
              <w:top w:val="nil"/>
              <w:left w:val="nil"/>
              <w:bottom w:val="single" w:sz="8" w:space="0" w:color="000000"/>
              <w:right w:val="single" w:sz="8" w:space="0" w:color="000000"/>
            </w:tcBorders>
            <w:vAlign w:val="center"/>
          </w:tcPr>
          <w:p w14:paraId="782843C1"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w:t>
            </w:r>
          </w:p>
        </w:tc>
        <w:tc>
          <w:tcPr>
            <w:tcW w:w="713" w:type="dxa"/>
            <w:tcBorders>
              <w:top w:val="nil"/>
              <w:left w:val="nil"/>
              <w:bottom w:val="single" w:sz="8" w:space="0" w:color="000000"/>
              <w:right w:val="nil"/>
            </w:tcBorders>
            <w:vAlign w:val="center"/>
          </w:tcPr>
          <w:p w14:paraId="3BBC493C"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41526208"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36.802.982</w:t>
            </w:r>
          </w:p>
        </w:tc>
      </w:tr>
      <w:tr w:rsidR="00BE6367" w14:paraId="2930B63E"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3E4E67FC"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47</w:t>
            </w:r>
          </w:p>
        </w:tc>
        <w:tc>
          <w:tcPr>
            <w:tcW w:w="3623" w:type="dxa"/>
            <w:tcBorders>
              <w:top w:val="nil"/>
              <w:left w:val="nil"/>
              <w:bottom w:val="single" w:sz="8" w:space="0" w:color="000000"/>
              <w:right w:val="single" w:sz="8" w:space="0" w:color="000000"/>
            </w:tcBorders>
            <w:vAlign w:val="center"/>
          </w:tcPr>
          <w:p w14:paraId="60F7F162"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SWITCH ESPECIALIZADO</w:t>
            </w:r>
          </w:p>
        </w:tc>
        <w:tc>
          <w:tcPr>
            <w:tcW w:w="1108" w:type="dxa"/>
            <w:tcBorders>
              <w:top w:val="nil"/>
              <w:left w:val="nil"/>
              <w:bottom w:val="single" w:sz="8" w:space="0" w:color="000000"/>
              <w:right w:val="single" w:sz="8" w:space="0" w:color="000000"/>
            </w:tcBorders>
            <w:vAlign w:val="center"/>
          </w:tcPr>
          <w:p w14:paraId="22F41758"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w:t>
            </w:r>
          </w:p>
        </w:tc>
        <w:tc>
          <w:tcPr>
            <w:tcW w:w="713" w:type="dxa"/>
            <w:tcBorders>
              <w:top w:val="nil"/>
              <w:left w:val="nil"/>
              <w:bottom w:val="single" w:sz="8" w:space="0" w:color="000000"/>
              <w:right w:val="nil"/>
            </w:tcBorders>
            <w:vAlign w:val="center"/>
          </w:tcPr>
          <w:p w14:paraId="09303D2D"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1AA78F49"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12.267.661</w:t>
            </w:r>
          </w:p>
        </w:tc>
      </w:tr>
      <w:tr w:rsidR="00BE6367" w14:paraId="4F88F78E" w14:textId="77777777">
        <w:trPr>
          <w:trHeight w:val="300"/>
        </w:trPr>
        <w:tc>
          <w:tcPr>
            <w:tcW w:w="1050" w:type="dxa"/>
            <w:tcBorders>
              <w:top w:val="nil"/>
              <w:left w:val="single" w:sz="8" w:space="0" w:color="000000"/>
              <w:bottom w:val="nil"/>
              <w:right w:val="single" w:sz="8" w:space="0" w:color="000000"/>
            </w:tcBorders>
            <w:vAlign w:val="center"/>
          </w:tcPr>
          <w:p w14:paraId="4CCC3061"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3623" w:type="dxa"/>
            <w:tcBorders>
              <w:top w:val="nil"/>
              <w:left w:val="nil"/>
              <w:bottom w:val="nil"/>
              <w:right w:val="single" w:sz="8" w:space="0" w:color="000000"/>
            </w:tcBorders>
            <w:vAlign w:val="center"/>
          </w:tcPr>
          <w:p w14:paraId="5068DA7F"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SISTEMA DE RESERVACIÓN DE</w:t>
            </w:r>
          </w:p>
        </w:tc>
        <w:tc>
          <w:tcPr>
            <w:tcW w:w="1108" w:type="dxa"/>
            <w:tcBorders>
              <w:top w:val="nil"/>
              <w:left w:val="nil"/>
              <w:bottom w:val="nil"/>
              <w:right w:val="single" w:sz="8" w:space="0" w:color="000000"/>
            </w:tcBorders>
            <w:vAlign w:val="center"/>
          </w:tcPr>
          <w:p w14:paraId="61930B22"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713" w:type="dxa"/>
            <w:tcBorders>
              <w:top w:val="nil"/>
              <w:left w:val="nil"/>
              <w:bottom w:val="nil"/>
              <w:right w:val="nil"/>
            </w:tcBorders>
            <w:vAlign w:val="center"/>
          </w:tcPr>
          <w:p w14:paraId="611EFEC0" w14:textId="77777777" w:rsidR="00BE6367" w:rsidRDefault="00BE6367">
            <w:pPr>
              <w:jc w:val="both"/>
              <w:rPr>
                <w:rFonts w:ascii="Arial" w:eastAsia="Arial" w:hAnsi="Arial" w:cs="Arial"/>
                <w:color w:val="000000"/>
                <w:sz w:val="20"/>
                <w:szCs w:val="20"/>
              </w:rPr>
            </w:pPr>
          </w:p>
        </w:tc>
        <w:tc>
          <w:tcPr>
            <w:tcW w:w="2324" w:type="dxa"/>
            <w:tcBorders>
              <w:top w:val="nil"/>
              <w:left w:val="nil"/>
              <w:bottom w:val="nil"/>
              <w:right w:val="single" w:sz="8" w:space="0" w:color="000000"/>
            </w:tcBorders>
            <w:vAlign w:val="center"/>
          </w:tcPr>
          <w:p w14:paraId="7D1FFF10"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r>
      <w:tr w:rsidR="00BE6367" w14:paraId="3185CB76"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548DEE68"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48</w:t>
            </w:r>
          </w:p>
        </w:tc>
        <w:tc>
          <w:tcPr>
            <w:tcW w:w="3623" w:type="dxa"/>
            <w:tcBorders>
              <w:top w:val="nil"/>
              <w:left w:val="nil"/>
              <w:bottom w:val="single" w:sz="8" w:space="0" w:color="000000"/>
              <w:right w:val="single" w:sz="8" w:space="0" w:color="000000"/>
            </w:tcBorders>
            <w:vAlign w:val="center"/>
          </w:tcPr>
          <w:p w14:paraId="63FFF43B"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SALAS</w:t>
            </w:r>
          </w:p>
        </w:tc>
        <w:tc>
          <w:tcPr>
            <w:tcW w:w="1108" w:type="dxa"/>
            <w:tcBorders>
              <w:top w:val="nil"/>
              <w:left w:val="nil"/>
              <w:bottom w:val="single" w:sz="8" w:space="0" w:color="000000"/>
              <w:right w:val="single" w:sz="8" w:space="0" w:color="000000"/>
            </w:tcBorders>
            <w:vAlign w:val="center"/>
          </w:tcPr>
          <w:p w14:paraId="6D495D36"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w:t>
            </w:r>
          </w:p>
        </w:tc>
        <w:tc>
          <w:tcPr>
            <w:tcW w:w="713" w:type="dxa"/>
            <w:tcBorders>
              <w:top w:val="nil"/>
              <w:left w:val="nil"/>
              <w:bottom w:val="single" w:sz="8" w:space="0" w:color="000000"/>
              <w:right w:val="nil"/>
            </w:tcBorders>
            <w:vAlign w:val="center"/>
          </w:tcPr>
          <w:p w14:paraId="3289E265"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6EBF073E"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10.082.696</w:t>
            </w:r>
          </w:p>
        </w:tc>
      </w:tr>
      <w:tr w:rsidR="00BE6367" w14:paraId="3A785878"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74DB441B"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50</w:t>
            </w:r>
          </w:p>
        </w:tc>
        <w:tc>
          <w:tcPr>
            <w:tcW w:w="3623" w:type="dxa"/>
            <w:tcBorders>
              <w:top w:val="nil"/>
              <w:left w:val="nil"/>
              <w:bottom w:val="single" w:sz="8" w:space="0" w:color="000000"/>
              <w:right w:val="single" w:sz="8" w:space="0" w:color="000000"/>
            </w:tcBorders>
            <w:vAlign w:val="center"/>
          </w:tcPr>
          <w:p w14:paraId="1AD0C2A3" w14:textId="77777777" w:rsidR="00BE6367" w:rsidRDefault="00C90F6A">
            <w:pPr>
              <w:ind w:firstLine="660"/>
              <w:jc w:val="both"/>
              <w:rPr>
                <w:rFonts w:ascii="Arial" w:eastAsia="Arial" w:hAnsi="Arial" w:cs="Arial"/>
                <w:color w:val="000000"/>
                <w:sz w:val="20"/>
                <w:szCs w:val="20"/>
              </w:rPr>
            </w:pPr>
            <w:r>
              <w:rPr>
                <w:rFonts w:ascii="Arial" w:eastAsia="Arial" w:hAnsi="Arial" w:cs="Arial"/>
                <w:color w:val="000000"/>
                <w:sz w:val="20"/>
                <w:szCs w:val="20"/>
              </w:rPr>
              <w:t>SOFTWARE DE AUDIENCIAS</w:t>
            </w:r>
          </w:p>
        </w:tc>
        <w:tc>
          <w:tcPr>
            <w:tcW w:w="1108" w:type="dxa"/>
            <w:tcBorders>
              <w:top w:val="nil"/>
              <w:left w:val="nil"/>
              <w:bottom w:val="single" w:sz="8" w:space="0" w:color="000000"/>
              <w:right w:val="single" w:sz="8" w:space="0" w:color="000000"/>
            </w:tcBorders>
            <w:vAlign w:val="center"/>
          </w:tcPr>
          <w:p w14:paraId="55C7A062"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62</w:t>
            </w:r>
          </w:p>
        </w:tc>
        <w:tc>
          <w:tcPr>
            <w:tcW w:w="713" w:type="dxa"/>
            <w:tcBorders>
              <w:top w:val="nil"/>
              <w:left w:val="nil"/>
              <w:bottom w:val="single" w:sz="8" w:space="0" w:color="000000"/>
              <w:right w:val="nil"/>
            </w:tcBorders>
            <w:vAlign w:val="center"/>
          </w:tcPr>
          <w:p w14:paraId="6660C024"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28B81E8A"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13.671.471</w:t>
            </w:r>
          </w:p>
        </w:tc>
      </w:tr>
      <w:tr w:rsidR="00BE6367" w14:paraId="3B501320" w14:textId="77777777">
        <w:trPr>
          <w:trHeight w:val="615"/>
        </w:trPr>
        <w:tc>
          <w:tcPr>
            <w:tcW w:w="1050" w:type="dxa"/>
            <w:tcBorders>
              <w:top w:val="nil"/>
              <w:left w:val="single" w:sz="8" w:space="0" w:color="000000"/>
              <w:bottom w:val="single" w:sz="8" w:space="0" w:color="000000"/>
              <w:right w:val="single" w:sz="8" w:space="0" w:color="000000"/>
            </w:tcBorders>
            <w:vAlign w:val="center"/>
          </w:tcPr>
          <w:p w14:paraId="35E6C03F"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51</w:t>
            </w:r>
          </w:p>
        </w:tc>
        <w:tc>
          <w:tcPr>
            <w:tcW w:w="3623" w:type="dxa"/>
            <w:tcBorders>
              <w:top w:val="nil"/>
              <w:left w:val="nil"/>
              <w:bottom w:val="single" w:sz="8" w:space="0" w:color="000000"/>
              <w:right w:val="single" w:sz="8" w:space="0" w:color="000000"/>
            </w:tcBorders>
            <w:vAlign w:val="center"/>
          </w:tcPr>
          <w:p w14:paraId="706A03C1"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ACONDICIONAMIENTO ACÚSTICO</w:t>
            </w:r>
          </w:p>
        </w:tc>
        <w:tc>
          <w:tcPr>
            <w:tcW w:w="1108" w:type="dxa"/>
            <w:tcBorders>
              <w:top w:val="nil"/>
              <w:left w:val="nil"/>
              <w:bottom w:val="single" w:sz="8" w:space="0" w:color="000000"/>
              <w:right w:val="single" w:sz="8" w:space="0" w:color="000000"/>
            </w:tcBorders>
            <w:vAlign w:val="center"/>
          </w:tcPr>
          <w:p w14:paraId="2E1EFF45"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w:t>
            </w:r>
          </w:p>
        </w:tc>
        <w:tc>
          <w:tcPr>
            <w:tcW w:w="713" w:type="dxa"/>
            <w:tcBorders>
              <w:top w:val="nil"/>
              <w:left w:val="nil"/>
              <w:bottom w:val="single" w:sz="8" w:space="0" w:color="000000"/>
              <w:right w:val="nil"/>
            </w:tcBorders>
            <w:vAlign w:val="center"/>
          </w:tcPr>
          <w:p w14:paraId="7633D327"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3D387E3F" w14:textId="77777777" w:rsidR="00BE6367" w:rsidRDefault="00C90F6A">
            <w:pPr>
              <w:ind w:firstLine="660"/>
              <w:jc w:val="both"/>
              <w:rPr>
                <w:rFonts w:ascii="Arial" w:eastAsia="Arial" w:hAnsi="Arial" w:cs="Arial"/>
                <w:color w:val="000000"/>
                <w:sz w:val="20"/>
                <w:szCs w:val="20"/>
              </w:rPr>
            </w:pPr>
            <w:r>
              <w:rPr>
                <w:rFonts w:ascii="Arial" w:eastAsia="Arial" w:hAnsi="Arial" w:cs="Arial"/>
                <w:color w:val="000000"/>
                <w:sz w:val="20"/>
                <w:szCs w:val="20"/>
              </w:rPr>
              <w:t>181.278.618</w:t>
            </w:r>
          </w:p>
        </w:tc>
      </w:tr>
      <w:tr w:rsidR="00BE6367" w14:paraId="4F78AF4C" w14:textId="77777777">
        <w:trPr>
          <w:trHeight w:val="585"/>
        </w:trPr>
        <w:tc>
          <w:tcPr>
            <w:tcW w:w="1050" w:type="dxa"/>
            <w:tcBorders>
              <w:top w:val="nil"/>
              <w:left w:val="single" w:sz="8" w:space="0" w:color="000000"/>
              <w:bottom w:val="nil"/>
              <w:right w:val="single" w:sz="8" w:space="0" w:color="000000"/>
            </w:tcBorders>
            <w:vAlign w:val="center"/>
          </w:tcPr>
          <w:p w14:paraId="09FA7D1B"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3623" w:type="dxa"/>
            <w:vMerge w:val="restart"/>
            <w:tcBorders>
              <w:top w:val="nil"/>
              <w:left w:val="single" w:sz="8" w:space="0" w:color="000000"/>
              <w:bottom w:val="single" w:sz="8" w:space="0" w:color="000000"/>
              <w:right w:val="single" w:sz="8" w:space="0" w:color="000000"/>
            </w:tcBorders>
            <w:vAlign w:val="center"/>
          </w:tcPr>
          <w:p w14:paraId="699E3D69"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SUMINISTRO E INSTALACIÓN DE ACCESORIOS Y CABLEADO PARA IMPLEMENTACIÓN</w:t>
            </w:r>
          </w:p>
        </w:tc>
        <w:tc>
          <w:tcPr>
            <w:tcW w:w="1108" w:type="dxa"/>
            <w:tcBorders>
              <w:top w:val="nil"/>
              <w:left w:val="nil"/>
              <w:bottom w:val="nil"/>
              <w:right w:val="single" w:sz="8" w:space="0" w:color="000000"/>
            </w:tcBorders>
            <w:vAlign w:val="center"/>
          </w:tcPr>
          <w:p w14:paraId="76A6E5B8"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713" w:type="dxa"/>
            <w:tcBorders>
              <w:top w:val="nil"/>
              <w:left w:val="nil"/>
              <w:bottom w:val="nil"/>
              <w:right w:val="nil"/>
            </w:tcBorders>
            <w:vAlign w:val="center"/>
          </w:tcPr>
          <w:p w14:paraId="7BC7B85B" w14:textId="77777777" w:rsidR="00BE6367" w:rsidRDefault="00BE6367">
            <w:pPr>
              <w:jc w:val="both"/>
              <w:rPr>
                <w:rFonts w:ascii="Arial" w:eastAsia="Arial" w:hAnsi="Arial" w:cs="Arial"/>
                <w:color w:val="000000"/>
                <w:sz w:val="20"/>
                <w:szCs w:val="20"/>
              </w:rPr>
            </w:pPr>
          </w:p>
        </w:tc>
        <w:tc>
          <w:tcPr>
            <w:tcW w:w="2324" w:type="dxa"/>
            <w:tcBorders>
              <w:top w:val="nil"/>
              <w:left w:val="nil"/>
              <w:bottom w:val="nil"/>
              <w:right w:val="single" w:sz="8" w:space="0" w:color="000000"/>
            </w:tcBorders>
            <w:vAlign w:val="center"/>
          </w:tcPr>
          <w:p w14:paraId="37F86648"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r>
      <w:tr w:rsidR="00BE6367" w14:paraId="5DCB9496"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63E9D9F6"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52</w:t>
            </w:r>
          </w:p>
        </w:tc>
        <w:tc>
          <w:tcPr>
            <w:tcW w:w="3623" w:type="dxa"/>
            <w:vMerge/>
            <w:tcBorders>
              <w:top w:val="nil"/>
              <w:left w:val="single" w:sz="8" w:space="0" w:color="000000"/>
              <w:bottom w:val="single" w:sz="8" w:space="0" w:color="000000"/>
              <w:right w:val="single" w:sz="8" w:space="0" w:color="000000"/>
            </w:tcBorders>
            <w:vAlign w:val="center"/>
          </w:tcPr>
          <w:p w14:paraId="1D5BAD07" w14:textId="77777777" w:rsidR="00BE6367" w:rsidRDefault="00BE6367">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tc>
        <w:tc>
          <w:tcPr>
            <w:tcW w:w="1108" w:type="dxa"/>
            <w:tcBorders>
              <w:top w:val="nil"/>
              <w:left w:val="nil"/>
              <w:bottom w:val="single" w:sz="8" w:space="0" w:color="000000"/>
              <w:right w:val="single" w:sz="8" w:space="0" w:color="000000"/>
            </w:tcBorders>
            <w:vAlign w:val="center"/>
          </w:tcPr>
          <w:p w14:paraId="6109A648"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w:t>
            </w:r>
          </w:p>
        </w:tc>
        <w:tc>
          <w:tcPr>
            <w:tcW w:w="713" w:type="dxa"/>
            <w:tcBorders>
              <w:top w:val="nil"/>
              <w:left w:val="nil"/>
              <w:bottom w:val="single" w:sz="8" w:space="0" w:color="000000"/>
              <w:right w:val="nil"/>
            </w:tcBorders>
            <w:vAlign w:val="center"/>
          </w:tcPr>
          <w:p w14:paraId="4A3CEF99"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1EC09973" w14:textId="77777777" w:rsidR="00BE6367" w:rsidRDefault="00C90F6A">
            <w:pPr>
              <w:ind w:firstLine="660"/>
              <w:jc w:val="both"/>
              <w:rPr>
                <w:rFonts w:ascii="Arial" w:eastAsia="Arial" w:hAnsi="Arial" w:cs="Arial"/>
                <w:color w:val="000000"/>
                <w:sz w:val="20"/>
                <w:szCs w:val="20"/>
              </w:rPr>
            </w:pPr>
            <w:r>
              <w:rPr>
                <w:rFonts w:ascii="Arial" w:eastAsia="Arial" w:hAnsi="Arial" w:cs="Arial"/>
                <w:color w:val="000000"/>
                <w:sz w:val="20"/>
                <w:szCs w:val="20"/>
              </w:rPr>
              <w:t>181.424.343</w:t>
            </w:r>
          </w:p>
        </w:tc>
      </w:tr>
      <w:tr w:rsidR="00BE6367" w14:paraId="01986445"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66102717"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53</w:t>
            </w:r>
          </w:p>
        </w:tc>
        <w:tc>
          <w:tcPr>
            <w:tcW w:w="3623" w:type="dxa"/>
            <w:tcBorders>
              <w:top w:val="nil"/>
              <w:left w:val="nil"/>
              <w:bottom w:val="single" w:sz="8" w:space="0" w:color="000000"/>
              <w:right w:val="single" w:sz="8" w:space="0" w:color="000000"/>
            </w:tcBorders>
            <w:vAlign w:val="center"/>
          </w:tcPr>
          <w:p w14:paraId="14B88D14"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ACONDICIONAMIENTO GENERAL</w:t>
            </w:r>
          </w:p>
        </w:tc>
        <w:tc>
          <w:tcPr>
            <w:tcW w:w="1108" w:type="dxa"/>
            <w:tcBorders>
              <w:top w:val="nil"/>
              <w:left w:val="nil"/>
              <w:bottom w:val="single" w:sz="8" w:space="0" w:color="000000"/>
              <w:right w:val="single" w:sz="8" w:space="0" w:color="000000"/>
            </w:tcBorders>
            <w:vAlign w:val="center"/>
          </w:tcPr>
          <w:p w14:paraId="0708E514"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w:t>
            </w:r>
          </w:p>
        </w:tc>
        <w:tc>
          <w:tcPr>
            <w:tcW w:w="713" w:type="dxa"/>
            <w:tcBorders>
              <w:top w:val="nil"/>
              <w:left w:val="nil"/>
              <w:bottom w:val="single" w:sz="8" w:space="0" w:color="000000"/>
              <w:right w:val="nil"/>
            </w:tcBorders>
            <w:vAlign w:val="center"/>
          </w:tcPr>
          <w:p w14:paraId="7B48D534"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34281AC9" w14:textId="77777777" w:rsidR="00BE6367" w:rsidRDefault="00C90F6A">
            <w:pPr>
              <w:ind w:firstLine="660"/>
              <w:jc w:val="both"/>
              <w:rPr>
                <w:rFonts w:ascii="Arial" w:eastAsia="Arial" w:hAnsi="Arial" w:cs="Arial"/>
                <w:color w:val="000000"/>
                <w:sz w:val="20"/>
                <w:szCs w:val="20"/>
              </w:rPr>
            </w:pPr>
            <w:r>
              <w:rPr>
                <w:rFonts w:ascii="Arial" w:eastAsia="Arial" w:hAnsi="Arial" w:cs="Arial"/>
                <w:color w:val="000000"/>
                <w:sz w:val="20"/>
                <w:szCs w:val="20"/>
              </w:rPr>
              <w:t>258.073.047</w:t>
            </w:r>
          </w:p>
        </w:tc>
      </w:tr>
      <w:tr w:rsidR="00BE6367" w14:paraId="284E192A" w14:textId="77777777">
        <w:trPr>
          <w:trHeight w:val="585"/>
        </w:trPr>
        <w:tc>
          <w:tcPr>
            <w:tcW w:w="1050" w:type="dxa"/>
            <w:tcBorders>
              <w:top w:val="nil"/>
              <w:left w:val="single" w:sz="8" w:space="0" w:color="000000"/>
              <w:bottom w:val="nil"/>
              <w:right w:val="single" w:sz="8" w:space="0" w:color="000000"/>
            </w:tcBorders>
            <w:vAlign w:val="center"/>
          </w:tcPr>
          <w:p w14:paraId="4E4B56F9"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3623" w:type="dxa"/>
            <w:vMerge w:val="restart"/>
            <w:tcBorders>
              <w:top w:val="nil"/>
              <w:left w:val="single" w:sz="8" w:space="0" w:color="000000"/>
              <w:bottom w:val="single" w:sz="8" w:space="0" w:color="000000"/>
              <w:right w:val="single" w:sz="8" w:space="0" w:color="000000"/>
            </w:tcBorders>
            <w:vAlign w:val="center"/>
          </w:tcPr>
          <w:p w14:paraId="3B54793B"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SERVICIO DE INSTALACIÓN, CONFIGURACIÓN Y PUESTA EN MARCHA</w:t>
            </w:r>
          </w:p>
        </w:tc>
        <w:tc>
          <w:tcPr>
            <w:tcW w:w="1108" w:type="dxa"/>
            <w:tcBorders>
              <w:top w:val="nil"/>
              <w:left w:val="nil"/>
              <w:bottom w:val="nil"/>
              <w:right w:val="single" w:sz="8" w:space="0" w:color="000000"/>
            </w:tcBorders>
            <w:vAlign w:val="center"/>
          </w:tcPr>
          <w:p w14:paraId="32BBAB85"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713" w:type="dxa"/>
            <w:tcBorders>
              <w:top w:val="nil"/>
              <w:left w:val="nil"/>
              <w:bottom w:val="nil"/>
              <w:right w:val="nil"/>
            </w:tcBorders>
            <w:vAlign w:val="center"/>
          </w:tcPr>
          <w:p w14:paraId="64AFD40C" w14:textId="77777777" w:rsidR="00BE6367" w:rsidRDefault="00BE6367">
            <w:pPr>
              <w:jc w:val="both"/>
              <w:rPr>
                <w:rFonts w:ascii="Arial" w:eastAsia="Arial" w:hAnsi="Arial" w:cs="Arial"/>
                <w:color w:val="000000"/>
                <w:sz w:val="20"/>
                <w:szCs w:val="20"/>
              </w:rPr>
            </w:pPr>
          </w:p>
        </w:tc>
        <w:tc>
          <w:tcPr>
            <w:tcW w:w="2324" w:type="dxa"/>
            <w:tcBorders>
              <w:top w:val="nil"/>
              <w:left w:val="nil"/>
              <w:bottom w:val="nil"/>
              <w:right w:val="single" w:sz="8" w:space="0" w:color="000000"/>
            </w:tcBorders>
            <w:vAlign w:val="center"/>
          </w:tcPr>
          <w:p w14:paraId="4866BC2E"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r>
      <w:tr w:rsidR="00BE6367" w14:paraId="1C13FE23"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57281BAD"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54</w:t>
            </w:r>
          </w:p>
        </w:tc>
        <w:tc>
          <w:tcPr>
            <w:tcW w:w="3623" w:type="dxa"/>
            <w:vMerge/>
            <w:tcBorders>
              <w:top w:val="nil"/>
              <w:left w:val="single" w:sz="8" w:space="0" w:color="000000"/>
              <w:bottom w:val="single" w:sz="8" w:space="0" w:color="000000"/>
              <w:right w:val="single" w:sz="8" w:space="0" w:color="000000"/>
            </w:tcBorders>
            <w:vAlign w:val="center"/>
          </w:tcPr>
          <w:p w14:paraId="38BA9743" w14:textId="77777777" w:rsidR="00BE6367" w:rsidRDefault="00BE6367">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tc>
        <w:tc>
          <w:tcPr>
            <w:tcW w:w="1108" w:type="dxa"/>
            <w:tcBorders>
              <w:top w:val="nil"/>
              <w:left w:val="nil"/>
              <w:bottom w:val="single" w:sz="8" w:space="0" w:color="000000"/>
              <w:right w:val="single" w:sz="8" w:space="0" w:color="000000"/>
            </w:tcBorders>
            <w:vAlign w:val="center"/>
          </w:tcPr>
          <w:p w14:paraId="6949AFE4"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w:t>
            </w:r>
          </w:p>
        </w:tc>
        <w:tc>
          <w:tcPr>
            <w:tcW w:w="713" w:type="dxa"/>
            <w:tcBorders>
              <w:top w:val="nil"/>
              <w:left w:val="nil"/>
              <w:bottom w:val="single" w:sz="8" w:space="0" w:color="000000"/>
              <w:right w:val="nil"/>
            </w:tcBorders>
            <w:vAlign w:val="center"/>
          </w:tcPr>
          <w:p w14:paraId="4AEDB3C4"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1C163C4C" w14:textId="77777777" w:rsidR="00BE6367" w:rsidRDefault="00C90F6A">
            <w:pPr>
              <w:ind w:firstLine="660"/>
              <w:jc w:val="both"/>
              <w:rPr>
                <w:rFonts w:ascii="Arial" w:eastAsia="Arial" w:hAnsi="Arial" w:cs="Arial"/>
                <w:color w:val="000000"/>
                <w:sz w:val="20"/>
                <w:szCs w:val="20"/>
              </w:rPr>
            </w:pPr>
            <w:r>
              <w:rPr>
                <w:rFonts w:ascii="Arial" w:eastAsia="Arial" w:hAnsi="Arial" w:cs="Arial"/>
                <w:color w:val="000000"/>
                <w:sz w:val="20"/>
                <w:szCs w:val="20"/>
              </w:rPr>
              <w:t>417.887.566</w:t>
            </w:r>
          </w:p>
        </w:tc>
      </w:tr>
      <w:tr w:rsidR="00BE6367" w14:paraId="133D770C" w14:textId="77777777">
        <w:trPr>
          <w:trHeight w:val="585"/>
        </w:trPr>
        <w:tc>
          <w:tcPr>
            <w:tcW w:w="1050" w:type="dxa"/>
            <w:tcBorders>
              <w:top w:val="nil"/>
              <w:left w:val="single" w:sz="8" w:space="0" w:color="000000"/>
              <w:bottom w:val="nil"/>
              <w:right w:val="single" w:sz="8" w:space="0" w:color="000000"/>
            </w:tcBorders>
            <w:vAlign w:val="center"/>
          </w:tcPr>
          <w:p w14:paraId="460945FA"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3623" w:type="dxa"/>
            <w:vMerge w:val="restart"/>
            <w:tcBorders>
              <w:top w:val="nil"/>
              <w:left w:val="single" w:sz="8" w:space="0" w:color="000000"/>
              <w:bottom w:val="single" w:sz="8" w:space="0" w:color="000000"/>
              <w:right w:val="single" w:sz="8" w:space="0" w:color="000000"/>
            </w:tcBorders>
            <w:vAlign w:val="center"/>
          </w:tcPr>
          <w:p w14:paraId="6CCE69AD"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SERVICIO DE PROGRAMACIÓN DE AUTOMATIZACIÓN DE LA SALA DE AUDIENCIAS</w:t>
            </w:r>
          </w:p>
        </w:tc>
        <w:tc>
          <w:tcPr>
            <w:tcW w:w="1108" w:type="dxa"/>
            <w:tcBorders>
              <w:top w:val="nil"/>
              <w:left w:val="nil"/>
              <w:bottom w:val="nil"/>
              <w:right w:val="single" w:sz="8" w:space="0" w:color="000000"/>
            </w:tcBorders>
            <w:vAlign w:val="center"/>
          </w:tcPr>
          <w:p w14:paraId="45B8F43A"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713" w:type="dxa"/>
            <w:tcBorders>
              <w:top w:val="nil"/>
              <w:left w:val="nil"/>
              <w:bottom w:val="nil"/>
              <w:right w:val="nil"/>
            </w:tcBorders>
            <w:vAlign w:val="center"/>
          </w:tcPr>
          <w:p w14:paraId="637E41F0" w14:textId="77777777" w:rsidR="00BE6367" w:rsidRDefault="00BE6367">
            <w:pPr>
              <w:jc w:val="both"/>
              <w:rPr>
                <w:rFonts w:ascii="Arial" w:eastAsia="Arial" w:hAnsi="Arial" w:cs="Arial"/>
                <w:color w:val="000000"/>
                <w:sz w:val="20"/>
                <w:szCs w:val="20"/>
              </w:rPr>
            </w:pPr>
          </w:p>
        </w:tc>
        <w:tc>
          <w:tcPr>
            <w:tcW w:w="2324" w:type="dxa"/>
            <w:tcBorders>
              <w:top w:val="nil"/>
              <w:left w:val="nil"/>
              <w:bottom w:val="nil"/>
              <w:right w:val="single" w:sz="8" w:space="0" w:color="000000"/>
            </w:tcBorders>
            <w:vAlign w:val="center"/>
          </w:tcPr>
          <w:p w14:paraId="7DB49177"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r>
      <w:tr w:rsidR="00BE6367" w14:paraId="728E2083"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380CC1BB"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55</w:t>
            </w:r>
          </w:p>
        </w:tc>
        <w:tc>
          <w:tcPr>
            <w:tcW w:w="3623" w:type="dxa"/>
            <w:vMerge/>
            <w:tcBorders>
              <w:top w:val="nil"/>
              <w:left w:val="single" w:sz="8" w:space="0" w:color="000000"/>
              <w:bottom w:val="single" w:sz="8" w:space="0" w:color="000000"/>
              <w:right w:val="single" w:sz="8" w:space="0" w:color="000000"/>
            </w:tcBorders>
            <w:vAlign w:val="center"/>
          </w:tcPr>
          <w:p w14:paraId="5C70E984" w14:textId="77777777" w:rsidR="00BE6367" w:rsidRDefault="00BE6367">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tc>
        <w:tc>
          <w:tcPr>
            <w:tcW w:w="1108" w:type="dxa"/>
            <w:tcBorders>
              <w:top w:val="nil"/>
              <w:left w:val="nil"/>
              <w:bottom w:val="single" w:sz="8" w:space="0" w:color="000000"/>
              <w:right w:val="single" w:sz="8" w:space="0" w:color="000000"/>
            </w:tcBorders>
            <w:vAlign w:val="center"/>
          </w:tcPr>
          <w:p w14:paraId="72BB4AD6"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w:t>
            </w:r>
          </w:p>
        </w:tc>
        <w:tc>
          <w:tcPr>
            <w:tcW w:w="713" w:type="dxa"/>
            <w:tcBorders>
              <w:top w:val="nil"/>
              <w:left w:val="nil"/>
              <w:bottom w:val="single" w:sz="8" w:space="0" w:color="000000"/>
              <w:right w:val="nil"/>
            </w:tcBorders>
            <w:vAlign w:val="center"/>
          </w:tcPr>
          <w:p w14:paraId="1632E470"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3972575B"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32.621.686</w:t>
            </w:r>
          </w:p>
        </w:tc>
      </w:tr>
      <w:tr w:rsidR="00BE6367" w14:paraId="528F66D6" w14:textId="77777777">
        <w:trPr>
          <w:trHeight w:val="300"/>
        </w:trPr>
        <w:tc>
          <w:tcPr>
            <w:tcW w:w="1050" w:type="dxa"/>
            <w:tcBorders>
              <w:top w:val="nil"/>
              <w:left w:val="single" w:sz="8" w:space="0" w:color="000000"/>
              <w:bottom w:val="nil"/>
              <w:right w:val="single" w:sz="8" w:space="0" w:color="000000"/>
            </w:tcBorders>
            <w:vAlign w:val="center"/>
          </w:tcPr>
          <w:p w14:paraId="5182355A"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3623" w:type="dxa"/>
            <w:vMerge w:val="restart"/>
            <w:tcBorders>
              <w:top w:val="nil"/>
              <w:left w:val="single" w:sz="8" w:space="0" w:color="000000"/>
              <w:bottom w:val="single" w:sz="8" w:space="0" w:color="000000"/>
              <w:right w:val="single" w:sz="8" w:space="0" w:color="000000"/>
            </w:tcBorders>
            <w:vAlign w:val="center"/>
          </w:tcPr>
          <w:p w14:paraId="0B45AFF7" w14:textId="77777777" w:rsidR="00BE6367" w:rsidRDefault="00C90F6A">
            <w:pPr>
              <w:ind w:firstLine="1540"/>
              <w:jc w:val="both"/>
              <w:rPr>
                <w:rFonts w:ascii="Arial" w:eastAsia="Arial" w:hAnsi="Arial" w:cs="Arial"/>
                <w:color w:val="000000"/>
                <w:sz w:val="20"/>
                <w:szCs w:val="20"/>
              </w:rPr>
            </w:pPr>
            <w:r>
              <w:rPr>
                <w:rFonts w:ascii="Arial" w:eastAsia="Arial" w:hAnsi="Arial" w:cs="Arial"/>
                <w:color w:val="000000"/>
                <w:sz w:val="20"/>
                <w:szCs w:val="20"/>
              </w:rPr>
              <w:t>MANTENIMIENTOS PREVENTIVOS TRIMESTRALES</w:t>
            </w:r>
          </w:p>
        </w:tc>
        <w:tc>
          <w:tcPr>
            <w:tcW w:w="1108" w:type="dxa"/>
            <w:tcBorders>
              <w:top w:val="nil"/>
              <w:left w:val="nil"/>
              <w:bottom w:val="nil"/>
              <w:right w:val="single" w:sz="8" w:space="0" w:color="000000"/>
            </w:tcBorders>
            <w:vAlign w:val="center"/>
          </w:tcPr>
          <w:p w14:paraId="0B7C4A49"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713" w:type="dxa"/>
            <w:tcBorders>
              <w:top w:val="nil"/>
              <w:left w:val="nil"/>
              <w:bottom w:val="nil"/>
              <w:right w:val="nil"/>
            </w:tcBorders>
            <w:vAlign w:val="center"/>
          </w:tcPr>
          <w:p w14:paraId="3A3A84CC" w14:textId="77777777" w:rsidR="00BE6367" w:rsidRDefault="00BE6367">
            <w:pPr>
              <w:jc w:val="both"/>
              <w:rPr>
                <w:rFonts w:ascii="Arial" w:eastAsia="Arial" w:hAnsi="Arial" w:cs="Arial"/>
                <w:color w:val="000000"/>
                <w:sz w:val="20"/>
                <w:szCs w:val="20"/>
              </w:rPr>
            </w:pPr>
          </w:p>
        </w:tc>
        <w:tc>
          <w:tcPr>
            <w:tcW w:w="2324" w:type="dxa"/>
            <w:tcBorders>
              <w:top w:val="nil"/>
              <w:left w:val="nil"/>
              <w:bottom w:val="nil"/>
              <w:right w:val="single" w:sz="8" w:space="0" w:color="000000"/>
            </w:tcBorders>
            <w:vAlign w:val="center"/>
          </w:tcPr>
          <w:p w14:paraId="72055B60"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r>
      <w:tr w:rsidR="00BE6367" w14:paraId="157061B3"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62690E69"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56</w:t>
            </w:r>
          </w:p>
        </w:tc>
        <w:tc>
          <w:tcPr>
            <w:tcW w:w="3623" w:type="dxa"/>
            <w:vMerge/>
            <w:tcBorders>
              <w:top w:val="nil"/>
              <w:left w:val="single" w:sz="8" w:space="0" w:color="000000"/>
              <w:bottom w:val="single" w:sz="8" w:space="0" w:color="000000"/>
              <w:right w:val="single" w:sz="8" w:space="0" w:color="000000"/>
            </w:tcBorders>
            <w:vAlign w:val="center"/>
          </w:tcPr>
          <w:p w14:paraId="735AB6D8" w14:textId="77777777" w:rsidR="00BE6367" w:rsidRDefault="00BE6367">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tc>
        <w:tc>
          <w:tcPr>
            <w:tcW w:w="1108" w:type="dxa"/>
            <w:tcBorders>
              <w:top w:val="nil"/>
              <w:left w:val="nil"/>
              <w:bottom w:val="single" w:sz="8" w:space="0" w:color="000000"/>
              <w:right w:val="single" w:sz="8" w:space="0" w:color="000000"/>
            </w:tcBorders>
            <w:vAlign w:val="center"/>
          </w:tcPr>
          <w:p w14:paraId="7A258177"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w:t>
            </w:r>
          </w:p>
        </w:tc>
        <w:tc>
          <w:tcPr>
            <w:tcW w:w="713" w:type="dxa"/>
            <w:tcBorders>
              <w:top w:val="nil"/>
              <w:left w:val="nil"/>
              <w:bottom w:val="single" w:sz="8" w:space="0" w:color="000000"/>
              <w:right w:val="nil"/>
            </w:tcBorders>
            <w:vAlign w:val="center"/>
          </w:tcPr>
          <w:p w14:paraId="0BE49BF5"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5C3FC4DE" w14:textId="77777777" w:rsidR="00BE6367" w:rsidRDefault="00C90F6A">
            <w:pPr>
              <w:ind w:firstLine="880"/>
              <w:jc w:val="both"/>
              <w:rPr>
                <w:rFonts w:ascii="Arial" w:eastAsia="Arial" w:hAnsi="Arial" w:cs="Arial"/>
                <w:color w:val="000000"/>
                <w:sz w:val="20"/>
                <w:szCs w:val="20"/>
              </w:rPr>
            </w:pPr>
            <w:r>
              <w:rPr>
                <w:rFonts w:ascii="Arial" w:eastAsia="Arial" w:hAnsi="Arial" w:cs="Arial"/>
                <w:color w:val="000000"/>
                <w:sz w:val="20"/>
                <w:szCs w:val="20"/>
              </w:rPr>
              <w:t>37.687.576</w:t>
            </w:r>
          </w:p>
        </w:tc>
      </w:tr>
      <w:tr w:rsidR="00BE6367" w14:paraId="173BC58D" w14:textId="77777777">
        <w:trPr>
          <w:trHeight w:val="300"/>
        </w:trPr>
        <w:tc>
          <w:tcPr>
            <w:tcW w:w="1050" w:type="dxa"/>
            <w:tcBorders>
              <w:top w:val="nil"/>
              <w:left w:val="single" w:sz="8" w:space="0" w:color="000000"/>
              <w:bottom w:val="nil"/>
              <w:right w:val="single" w:sz="8" w:space="0" w:color="000000"/>
            </w:tcBorders>
            <w:vAlign w:val="center"/>
          </w:tcPr>
          <w:p w14:paraId="1360DCD5"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3623" w:type="dxa"/>
            <w:vMerge w:val="restart"/>
            <w:tcBorders>
              <w:top w:val="nil"/>
              <w:left w:val="single" w:sz="8" w:space="0" w:color="000000"/>
              <w:bottom w:val="single" w:sz="8" w:space="0" w:color="000000"/>
              <w:right w:val="single" w:sz="8" w:space="0" w:color="000000"/>
            </w:tcBorders>
            <w:vAlign w:val="center"/>
          </w:tcPr>
          <w:p w14:paraId="060491D4" w14:textId="77777777" w:rsidR="00BE6367" w:rsidRDefault="00C90F6A">
            <w:pPr>
              <w:ind w:firstLine="1540"/>
              <w:jc w:val="both"/>
              <w:rPr>
                <w:rFonts w:ascii="Arial" w:eastAsia="Arial" w:hAnsi="Arial" w:cs="Arial"/>
                <w:color w:val="000000"/>
                <w:sz w:val="20"/>
                <w:szCs w:val="20"/>
              </w:rPr>
            </w:pPr>
            <w:r>
              <w:rPr>
                <w:rFonts w:ascii="Arial" w:eastAsia="Arial" w:hAnsi="Arial" w:cs="Arial"/>
                <w:color w:val="000000"/>
                <w:sz w:val="20"/>
                <w:szCs w:val="20"/>
              </w:rPr>
              <w:t>SERVICIO DE SOPORTE ESPECIALIZADO</w:t>
            </w:r>
          </w:p>
        </w:tc>
        <w:tc>
          <w:tcPr>
            <w:tcW w:w="1108" w:type="dxa"/>
            <w:tcBorders>
              <w:top w:val="nil"/>
              <w:left w:val="nil"/>
              <w:bottom w:val="nil"/>
              <w:right w:val="single" w:sz="8" w:space="0" w:color="000000"/>
            </w:tcBorders>
            <w:vAlign w:val="center"/>
          </w:tcPr>
          <w:p w14:paraId="785B1933"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c>
          <w:tcPr>
            <w:tcW w:w="713" w:type="dxa"/>
            <w:tcBorders>
              <w:top w:val="nil"/>
              <w:left w:val="nil"/>
              <w:bottom w:val="nil"/>
              <w:right w:val="nil"/>
            </w:tcBorders>
            <w:vAlign w:val="center"/>
          </w:tcPr>
          <w:p w14:paraId="59E2B9A7" w14:textId="77777777" w:rsidR="00BE6367" w:rsidRDefault="00BE6367">
            <w:pPr>
              <w:jc w:val="both"/>
              <w:rPr>
                <w:rFonts w:ascii="Arial" w:eastAsia="Arial" w:hAnsi="Arial" w:cs="Arial"/>
                <w:color w:val="000000"/>
                <w:sz w:val="20"/>
                <w:szCs w:val="20"/>
              </w:rPr>
            </w:pPr>
          </w:p>
        </w:tc>
        <w:tc>
          <w:tcPr>
            <w:tcW w:w="2324" w:type="dxa"/>
            <w:tcBorders>
              <w:top w:val="nil"/>
              <w:left w:val="nil"/>
              <w:bottom w:val="nil"/>
              <w:right w:val="single" w:sz="8" w:space="0" w:color="000000"/>
            </w:tcBorders>
            <w:vAlign w:val="center"/>
          </w:tcPr>
          <w:p w14:paraId="69F92CE2"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 </w:t>
            </w:r>
          </w:p>
        </w:tc>
      </w:tr>
      <w:tr w:rsidR="00BE6367" w14:paraId="771CCF13" w14:textId="77777777">
        <w:trPr>
          <w:trHeight w:val="315"/>
        </w:trPr>
        <w:tc>
          <w:tcPr>
            <w:tcW w:w="1050" w:type="dxa"/>
            <w:tcBorders>
              <w:top w:val="nil"/>
              <w:left w:val="single" w:sz="8" w:space="0" w:color="000000"/>
              <w:bottom w:val="single" w:sz="8" w:space="0" w:color="000000"/>
              <w:right w:val="single" w:sz="8" w:space="0" w:color="000000"/>
            </w:tcBorders>
            <w:vAlign w:val="center"/>
          </w:tcPr>
          <w:p w14:paraId="6B1677D4"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57</w:t>
            </w:r>
          </w:p>
        </w:tc>
        <w:tc>
          <w:tcPr>
            <w:tcW w:w="3623" w:type="dxa"/>
            <w:vMerge/>
            <w:tcBorders>
              <w:top w:val="nil"/>
              <w:left w:val="single" w:sz="8" w:space="0" w:color="000000"/>
              <w:bottom w:val="single" w:sz="8" w:space="0" w:color="000000"/>
              <w:right w:val="single" w:sz="8" w:space="0" w:color="000000"/>
            </w:tcBorders>
            <w:vAlign w:val="center"/>
          </w:tcPr>
          <w:p w14:paraId="57FFF667" w14:textId="77777777" w:rsidR="00BE6367" w:rsidRDefault="00BE6367">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tc>
        <w:tc>
          <w:tcPr>
            <w:tcW w:w="1108" w:type="dxa"/>
            <w:tcBorders>
              <w:top w:val="nil"/>
              <w:left w:val="nil"/>
              <w:bottom w:val="single" w:sz="8" w:space="0" w:color="000000"/>
              <w:right w:val="single" w:sz="8" w:space="0" w:color="000000"/>
            </w:tcBorders>
            <w:vAlign w:val="center"/>
          </w:tcPr>
          <w:p w14:paraId="119CA6F6" w14:textId="77777777" w:rsidR="00BE6367" w:rsidRDefault="00C90F6A">
            <w:pPr>
              <w:jc w:val="both"/>
              <w:rPr>
                <w:rFonts w:ascii="Arial" w:eastAsia="Arial" w:hAnsi="Arial" w:cs="Arial"/>
                <w:color w:val="000000"/>
                <w:sz w:val="20"/>
                <w:szCs w:val="20"/>
              </w:rPr>
            </w:pPr>
            <w:r>
              <w:rPr>
                <w:rFonts w:ascii="Arial" w:eastAsia="Arial" w:hAnsi="Arial" w:cs="Arial"/>
                <w:color w:val="000000"/>
                <w:sz w:val="20"/>
                <w:szCs w:val="20"/>
              </w:rPr>
              <w:t>1</w:t>
            </w:r>
          </w:p>
        </w:tc>
        <w:tc>
          <w:tcPr>
            <w:tcW w:w="713" w:type="dxa"/>
            <w:tcBorders>
              <w:top w:val="nil"/>
              <w:left w:val="nil"/>
              <w:bottom w:val="single" w:sz="8" w:space="0" w:color="000000"/>
              <w:right w:val="nil"/>
            </w:tcBorders>
            <w:vAlign w:val="center"/>
          </w:tcPr>
          <w:p w14:paraId="41BDE12A" w14:textId="77777777" w:rsidR="00BE6367" w:rsidRDefault="00C90F6A">
            <w:pPr>
              <w:ind w:firstLine="220"/>
              <w:jc w:val="both"/>
              <w:rPr>
                <w:rFonts w:ascii="Arial" w:eastAsia="Arial" w:hAnsi="Arial" w:cs="Arial"/>
                <w:color w:val="000000"/>
                <w:sz w:val="20"/>
                <w:szCs w:val="20"/>
              </w:rPr>
            </w:pPr>
            <w:r>
              <w:rPr>
                <w:rFonts w:ascii="Arial" w:eastAsia="Arial" w:hAnsi="Arial" w:cs="Arial"/>
                <w:color w:val="000000"/>
                <w:sz w:val="20"/>
                <w:szCs w:val="20"/>
              </w:rPr>
              <w:t>$</w:t>
            </w:r>
          </w:p>
        </w:tc>
        <w:tc>
          <w:tcPr>
            <w:tcW w:w="2324" w:type="dxa"/>
            <w:tcBorders>
              <w:top w:val="nil"/>
              <w:left w:val="nil"/>
              <w:bottom w:val="single" w:sz="8" w:space="0" w:color="000000"/>
              <w:right w:val="single" w:sz="8" w:space="0" w:color="000000"/>
            </w:tcBorders>
            <w:vAlign w:val="center"/>
          </w:tcPr>
          <w:p w14:paraId="2C73F222" w14:textId="77777777" w:rsidR="00BE6367" w:rsidRDefault="00C90F6A">
            <w:pPr>
              <w:ind w:firstLine="660"/>
              <w:jc w:val="both"/>
              <w:rPr>
                <w:rFonts w:ascii="Arial" w:eastAsia="Arial" w:hAnsi="Arial" w:cs="Arial"/>
                <w:color w:val="000000"/>
                <w:sz w:val="20"/>
                <w:szCs w:val="20"/>
              </w:rPr>
            </w:pPr>
            <w:r>
              <w:rPr>
                <w:rFonts w:ascii="Arial" w:eastAsia="Arial" w:hAnsi="Arial" w:cs="Arial"/>
                <w:color w:val="000000"/>
                <w:sz w:val="20"/>
                <w:szCs w:val="20"/>
              </w:rPr>
              <w:t>488.234.938</w:t>
            </w:r>
          </w:p>
        </w:tc>
      </w:tr>
    </w:tbl>
    <w:p w14:paraId="27410C1B" w14:textId="77777777" w:rsidR="00BE6367" w:rsidRDefault="00BE6367">
      <w:pPr>
        <w:spacing w:line="259" w:lineRule="auto"/>
        <w:jc w:val="both"/>
        <w:rPr>
          <w:rFonts w:ascii="Arial" w:eastAsia="Arial" w:hAnsi="Arial" w:cs="Arial"/>
          <w:sz w:val="20"/>
          <w:szCs w:val="20"/>
        </w:rPr>
      </w:pPr>
    </w:p>
    <w:p w14:paraId="057A398F"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Nuestra solicitud obedece que estas dos operaciones se verían reflejado en:</w:t>
      </w:r>
    </w:p>
    <w:p w14:paraId="3CFEDCF2"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Una mayor concurrencia de oferentes, marcas lo que amplía el espectro de beneficios para a la entidad en tener oferentes idóneos en cada segmento y mercado especializado</w:t>
      </w:r>
    </w:p>
    <w:p w14:paraId="186EFA05" w14:textId="77777777" w:rsidR="00BE6367" w:rsidRDefault="00C90F6A">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Eficiencia en el presupuesto lo que beneficia a la entidad ya que abre la posibilidad de mayor número de ofertas sin disminuir las condiciones de calidad o capacidades requeridas para la adecuada ejecución del contrato, pero si mejores precios porque se presentan ofertas económicas competitivas.</w:t>
      </w:r>
    </w:p>
    <w:p w14:paraId="747A5DF1" w14:textId="77777777" w:rsidR="00BE6367" w:rsidRDefault="00BE6367">
      <w:pPr>
        <w:pBdr>
          <w:top w:val="nil"/>
          <w:left w:val="nil"/>
          <w:bottom w:val="nil"/>
          <w:right w:val="nil"/>
          <w:between w:val="nil"/>
        </w:pBdr>
        <w:spacing w:after="0" w:line="240" w:lineRule="auto"/>
        <w:jc w:val="both"/>
        <w:rPr>
          <w:rFonts w:ascii="Arial" w:eastAsia="Arial" w:hAnsi="Arial" w:cs="Arial"/>
          <w:color w:val="000000"/>
          <w:sz w:val="20"/>
          <w:szCs w:val="20"/>
        </w:rPr>
      </w:pPr>
    </w:p>
    <w:p w14:paraId="1572D55F" w14:textId="77777777" w:rsidR="00BE6367" w:rsidRDefault="00C90F6A">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Al separar en dos operaciones la entidad tendría dos oferentes especializados con las credenciales e ingeniería uno en tecnología de cómputo y el otro en tecnología de audio y video. Lo que redunda en beneficios para la entidad.</w:t>
      </w:r>
    </w:p>
    <w:p w14:paraId="717069DC" w14:textId="77777777" w:rsidR="00BE6367" w:rsidRDefault="00BE6367">
      <w:pPr>
        <w:pBdr>
          <w:top w:val="nil"/>
          <w:left w:val="nil"/>
          <w:bottom w:val="nil"/>
          <w:right w:val="nil"/>
          <w:between w:val="nil"/>
        </w:pBdr>
        <w:spacing w:after="0" w:line="240" w:lineRule="auto"/>
        <w:jc w:val="both"/>
        <w:rPr>
          <w:rFonts w:ascii="Arial" w:eastAsia="Arial" w:hAnsi="Arial" w:cs="Arial"/>
          <w:sz w:val="20"/>
          <w:szCs w:val="20"/>
        </w:rPr>
      </w:pPr>
    </w:p>
    <w:p w14:paraId="009A20A6" w14:textId="77777777" w:rsidR="00BE6367" w:rsidRDefault="00C90F6A">
      <w:pPr>
        <w:pBdr>
          <w:top w:val="nil"/>
          <w:left w:val="nil"/>
          <w:bottom w:val="nil"/>
          <w:right w:val="nil"/>
          <w:between w:val="nil"/>
        </w:pBdr>
        <w:spacing w:after="0" w:line="240" w:lineRule="auto"/>
        <w:jc w:val="both"/>
        <w:rPr>
          <w:rFonts w:ascii="Arial" w:eastAsia="Arial" w:hAnsi="Arial" w:cs="Arial"/>
          <w:b/>
          <w:bCs/>
          <w:sz w:val="20"/>
          <w:szCs w:val="20"/>
        </w:rPr>
      </w:pPr>
      <w:r>
        <w:rPr>
          <w:rFonts w:ascii="Arial" w:eastAsia="Arial" w:hAnsi="Arial" w:cs="Arial"/>
          <w:b/>
          <w:bCs/>
          <w:sz w:val="20"/>
          <w:szCs w:val="20"/>
        </w:rPr>
        <w:t>RESPUESTA A OBSERVACIÓN:</w:t>
      </w:r>
    </w:p>
    <w:p w14:paraId="33E3405F" w14:textId="77777777" w:rsidR="00BE6367" w:rsidRDefault="00BE6367">
      <w:pPr>
        <w:pBdr>
          <w:top w:val="nil"/>
          <w:left w:val="nil"/>
          <w:bottom w:val="nil"/>
          <w:right w:val="nil"/>
          <w:between w:val="nil"/>
        </w:pBdr>
        <w:spacing w:after="0" w:line="240" w:lineRule="auto"/>
        <w:jc w:val="both"/>
        <w:rPr>
          <w:rFonts w:ascii="Arial" w:eastAsia="Arial" w:hAnsi="Arial" w:cs="Arial"/>
          <w:b/>
          <w:bCs/>
          <w:sz w:val="20"/>
          <w:szCs w:val="20"/>
        </w:rPr>
      </w:pPr>
    </w:p>
    <w:p w14:paraId="30293B9B"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lastRenderedPageBreak/>
        <w:t>No se acepta la observación. La Entidad, en ejercicio de su autonomía técnica y administrativa y de conformidad con el deber de planeación previsto en el artículo 25 de la Ley 80 de 1993, considera procedente mantener la contratación integral del objeto del proceso.</w:t>
      </w:r>
    </w:p>
    <w:p w14:paraId="38E0660A"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La decisión obedece a que los componentes de cómputo, audiovisuales y de audio y video hacen parte de una solución que requiere integración, compatibilidad e interoperabilidad. Por esta razón, contar con un único responsable del suministro, instalación, configuración, puesta en funcionamiento y soporte permite atender de manera integral cualquier falla o inconveniente que se presente durante la ejecución, evitando que las responsabilidades se dispersen entre diferentes proveedores.</w:t>
      </w:r>
    </w:p>
    <w:p w14:paraId="13B75CB9"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Adicionalmente, varios de los elementos requeridos deben operar de forma articulada, como ocurre con los sistemas de videoconferencia, las soluciones para la gestión de audiencias y los equipos de procesamiento, visualización y reproducción de audio y video. La contratación conjunta facilita su configuración, la realización de pruebas integrales y la atención de incidentes, disminuyendo los riesgos asociados a incompatibilidades técnicas o a dificultades en la coordinación entre contratistas.</w:t>
      </w:r>
    </w:p>
    <w:p w14:paraId="7C6CE125"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Desde el punto de vista administrativo, la contratación integral también permite concentrar en un solo proceso las actividades de selección, supervisión, seguimiento, gestión de garantías y control de la ejecución. La división del objeto en dos operaciones independientes implicaría duplicar actuaciones administrativas y podría generar diferencias en los cronogramas de suministro e instalación, así como dificultades para determinar responsabilidades ante eventuales fallas en el funcionamiento de la solución.</w:t>
      </w:r>
    </w:p>
    <w:p w14:paraId="780654A1"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En relación con la participación de proveedores especializados, se precisa que los documentos del proceso permiten la presentación de ofertas mediante consorcios o uniones temporales. De esta manera, empresas con experiencia en segmentos diferentes, como equipos de cómputo y soluciones de audio y video, podrán concurrir conjuntamente y acreditar sus capacidades conforme a las reglas establecidas en la Ficha Técnica de Negociación.</w:t>
      </w:r>
    </w:p>
    <w:p w14:paraId="25E99EFF"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Por lo anterior, la integración del objeto contractual no limita la participación de proveedores especializados, quienes podrán presentarse individualmente o mediante estructuras plurales, de acuerdo con su capacidad técnica, experiencia y modelo de negocio.</w:t>
      </w:r>
    </w:p>
    <w:p w14:paraId="0E8575E1"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En consecuencia, la Entidad mantiene la estructura integral del proceso y no accede a dividir el objeto contractual en operaciones independientes.</w:t>
      </w:r>
    </w:p>
    <w:p w14:paraId="3107F907" w14:textId="77777777" w:rsidR="00BE6367" w:rsidRDefault="00C90F6A">
      <w:pPr>
        <w:pBdr>
          <w:top w:val="nil"/>
          <w:left w:val="nil"/>
          <w:bottom w:val="nil"/>
          <w:right w:val="nil"/>
          <w:between w:val="nil"/>
        </w:pBdr>
        <w:spacing w:after="0" w:line="240" w:lineRule="auto"/>
        <w:jc w:val="both"/>
        <w:rPr>
          <w:rFonts w:ascii="Arial" w:eastAsia="Arial" w:hAnsi="Arial" w:cs="Arial"/>
          <w:b/>
          <w:bCs/>
          <w:color w:val="000000"/>
          <w:sz w:val="20"/>
          <w:szCs w:val="20"/>
        </w:rPr>
      </w:pPr>
      <w:r>
        <w:rPr>
          <w:rFonts w:ascii="Arial" w:eastAsia="Arial" w:hAnsi="Arial" w:cs="Arial"/>
          <w:b/>
          <w:bCs/>
          <w:color w:val="000000"/>
          <w:sz w:val="20"/>
          <w:szCs w:val="20"/>
        </w:rPr>
        <w:t>GEOCAPITAL S.A.</w:t>
      </w:r>
    </w:p>
    <w:p w14:paraId="19E9558A" w14:textId="77777777" w:rsidR="00BE6367" w:rsidRDefault="00C90F6A">
      <w:pPr>
        <w:pBdr>
          <w:top w:val="nil"/>
          <w:left w:val="nil"/>
          <w:bottom w:val="nil"/>
          <w:right w:val="nil"/>
          <w:between w:val="nil"/>
        </w:pBdr>
        <w:spacing w:after="0" w:line="240" w:lineRule="auto"/>
        <w:jc w:val="both"/>
        <w:rPr>
          <w:rFonts w:ascii="Arial" w:eastAsia="Arial" w:hAnsi="Arial" w:cs="Arial"/>
          <w:sz w:val="20"/>
          <w:szCs w:val="20"/>
        </w:rPr>
      </w:pPr>
      <w:r>
        <w:rPr>
          <w:rFonts w:ascii="Arial" w:eastAsia="Arial" w:hAnsi="Arial" w:cs="Arial"/>
          <w:color w:val="000000"/>
          <w:sz w:val="20"/>
          <w:szCs w:val="20"/>
        </w:rPr>
        <w:t xml:space="preserve"> </w:t>
      </w:r>
    </w:p>
    <w:tbl>
      <w:tblPr>
        <w:tblStyle w:val="ad"/>
        <w:tblW w:w="8353" w:type="dxa"/>
        <w:tblInd w:w="0"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1570"/>
        <w:gridCol w:w="6783"/>
      </w:tblGrid>
      <w:tr w:rsidR="00BE6367" w14:paraId="0FA624B4"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27835A5D"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Sociedad C. B.:</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752E6358"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AGROBOLSA S.A.</w:t>
            </w:r>
          </w:p>
        </w:tc>
      </w:tr>
      <w:tr w:rsidR="00BE6367" w14:paraId="3C00DCB3"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73DAB912"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Fecha Registro:</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28FAE3C6"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2026-07-10 (10:57)</w:t>
            </w:r>
          </w:p>
        </w:tc>
      </w:tr>
    </w:tbl>
    <w:p w14:paraId="081F9A98" w14:textId="77777777" w:rsidR="00BE6367" w:rsidRDefault="00BE6367">
      <w:pPr>
        <w:jc w:val="both"/>
        <w:rPr>
          <w:rFonts w:ascii="Arial" w:eastAsia="Arial" w:hAnsi="Arial" w:cs="Arial"/>
          <w:b/>
          <w:bCs/>
          <w:sz w:val="20"/>
          <w:szCs w:val="20"/>
        </w:rPr>
      </w:pPr>
    </w:p>
    <w:p w14:paraId="3F7A6B59"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Documento de Condiciones Especiales (DCE)</w:t>
      </w:r>
    </w:p>
    <w:p w14:paraId="5674FCAA" w14:textId="77777777" w:rsidR="00BE6367" w:rsidRDefault="00BE6367">
      <w:pPr>
        <w:jc w:val="both"/>
        <w:rPr>
          <w:rFonts w:ascii="Arial" w:eastAsia="Arial" w:hAnsi="Arial" w:cs="Arial"/>
          <w:sz w:val="20"/>
          <w:szCs w:val="20"/>
        </w:rPr>
      </w:pPr>
    </w:p>
    <w:p w14:paraId="610DDC99"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6BD4C76D"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5CF38560"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0550998E" w14:textId="77777777" w:rsidR="00BE6367" w:rsidRDefault="00BE6367">
      <w:pPr>
        <w:jc w:val="both"/>
        <w:rPr>
          <w:rFonts w:ascii="Arial" w:eastAsia="Arial" w:hAnsi="Arial" w:cs="Arial"/>
          <w:sz w:val="20"/>
          <w:szCs w:val="20"/>
        </w:rPr>
      </w:pPr>
    </w:p>
    <w:p w14:paraId="001FA2B9"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lastRenderedPageBreak/>
        <w:t xml:space="preserve">Documento(s) Adjunto(s): </w:t>
      </w:r>
    </w:p>
    <w:p w14:paraId="58B24748" w14:textId="77777777" w:rsidR="00BE6367" w:rsidRDefault="00BE6367">
      <w:pPr>
        <w:jc w:val="both"/>
        <w:rPr>
          <w:rFonts w:ascii="Arial" w:eastAsia="Arial" w:hAnsi="Arial" w:cs="Arial"/>
          <w:sz w:val="20"/>
          <w:szCs w:val="20"/>
        </w:rPr>
      </w:pPr>
    </w:p>
    <w:p w14:paraId="4A657836"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Ficha Técnica de Negociación</w:t>
      </w:r>
    </w:p>
    <w:p w14:paraId="31C19CCA" w14:textId="77777777" w:rsidR="00BE6367" w:rsidRDefault="00BE6367">
      <w:pPr>
        <w:jc w:val="both"/>
        <w:rPr>
          <w:rFonts w:ascii="Arial" w:eastAsia="Arial" w:hAnsi="Arial" w:cs="Arial"/>
          <w:sz w:val="20"/>
          <w:szCs w:val="20"/>
        </w:rPr>
      </w:pPr>
    </w:p>
    <w:p w14:paraId="6BA8BDCF" w14:textId="77777777" w:rsidR="00BE6367" w:rsidRDefault="00BE6367">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p>
    <w:p w14:paraId="43869287" w14:textId="77777777" w:rsidR="00BE6367" w:rsidRDefault="00C90F6A">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r>
        <w:rPr>
          <w:rFonts w:ascii="Arial" w:eastAsia="Arial" w:hAnsi="Arial" w:cs="Arial"/>
          <w:sz w:val="20"/>
          <w:szCs w:val="20"/>
        </w:rPr>
        <w:t>Adjunto observaciones</w:t>
      </w:r>
    </w:p>
    <w:p w14:paraId="1CB02747" w14:textId="77777777" w:rsidR="00BE6367" w:rsidRDefault="00BE6367">
      <w:pPr>
        <w:jc w:val="both"/>
        <w:rPr>
          <w:rFonts w:ascii="Arial" w:eastAsia="Arial" w:hAnsi="Arial" w:cs="Arial"/>
          <w:sz w:val="20"/>
          <w:szCs w:val="20"/>
        </w:rPr>
      </w:pPr>
    </w:p>
    <w:p w14:paraId="2CDF874A"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Documento(s) Adjunto(s): Sí</w:t>
      </w:r>
    </w:p>
    <w:p w14:paraId="1655FA14" w14:textId="77777777" w:rsidR="00BE6367" w:rsidRDefault="00BE6367">
      <w:pPr>
        <w:jc w:val="both"/>
        <w:rPr>
          <w:rFonts w:ascii="Arial" w:eastAsia="Arial" w:hAnsi="Arial" w:cs="Arial"/>
          <w:sz w:val="20"/>
          <w:szCs w:val="20"/>
        </w:rPr>
      </w:pPr>
    </w:p>
    <w:p w14:paraId="7B677CB9" w14:textId="77777777" w:rsidR="00BE6367" w:rsidRDefault="00BE6367">
      <w:pPr>
        <w:jc w:val="both"/>
        <w:rPr>
          <w:rFonts w:ascii="Arial" w:eastAsia="Arial" w:hAnsi="Arial" w:cs="Arial"/>
          <w:sz w:val="20"/>
          <w:szCs w:val="20"/>
        </w:rPr>
      </w:pPr>
    </w:p>
    <w:p w14:paraId="4C28AC88"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INTRODUCCIÓN</w:t>
      </w:r>
    </w:p>
    <w:p w14:paraId="4F6FC9D4" w14:textId="77777777" w:rsidR="00BE6367" w:rsidRDefault="00C90F6A">
      <w:pPr>
        <w:jc w:val="both"/>
        <w:rPr>
          <w:rFonts w:ascii="Arial" w:eastAsia="Arial" w:hAnsi="Arial" w:cs="Arial"/>
          <w:sz w:val="20"/>
          <w:szCs w:val="20"/>
        </w:rPr>
      </w:pPr>
      <w:r>
        <w:rPr>
          <w:rFonts w:ascii="Arial" w:eastAsia="Arial" w:hAnsi="Arial" w:cs="Arial"/>
          <w:b/>
          <w:bCs/>
          <w:sz w:val="20"/>
          <w:szCs w:val="20"/>
        </w:rPr>
        <w:t>OBSERVACIONES A LA FICHA TÉCNICA DE NEGOCIACIÓN Y A LA FICHA TÉCNICA DE PRODUCTO</w:t>
      </w:r>
    </w:p>
    <w:p w14:paraId="0E9E9D7D"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Proceso: </w:t>
      </w:r>
      <w:r>
        <w:rPr>
          <w:rFonts w:ascii="Arial" w:eastAsia="Arial" w:hAnsi="Arial" w:cs="Arial"/>
          <w:b/>
          <w:bCs/>
          <w:sz w:val="20"/>
          <w:szCs w:val="20"/>
        </w:rPr>
        <w:t>Adquisición de equipos de cómputo, periféricos y soluciones audiovisuales para la Procuraduría General de la Nación mediante el Mercado de Compras Públicas de la Bolsa Mercantil de Colombia.</w:t>
      </w:r>
    </w:p>
    <w:p w14:paraId="760C8538" w14:textId="77777777" w:rsidR="00BE6367" w:rsidRDefault="00C90F6A">
      <w:pPr>
        <w:jc w:val="both"/>
        <w:rPr>
          <w:rFonts w:ascii="Arial" w:eastAsia="Arial" w:hAnsi="Arial" w:cs="Arial"/>
          <w:sz w:val="20"/>
          <w:szCs w:val="20"/>
        </w:rPr>
      </w:pPr>
      <w:r>
        <w:rPr>
          <w:rFonts w:ascii="Arial" w:eastAsia="Arial" w:hAnsi="Arial" w:cs="Arial"/>
          <w:sz w:val="20"/>
          <w:szCs w:val="20"/>
        </w:rPr>
        <w:t>Las presentes observaciones se formulan en ejercicio del derecho de participación de los potenciales oferentes, con el propósito de contribuir al fortalecimiento del proceso de selección y promover la aplicación de los principios de transparencia, selección objetiva, libre concurrencia, igualdad y pluralidad de oferentes previstos en la Constitución Política, la Ley 80 de 1993, la Ley 1150 de 2007, el Decreto 1082 de 2015 y el Reglamento de Funcionamiento y Operación de la Bolsa Mercantil de Colombia.</w:t>
      </w:r>
    </w:p>
    <w:p w14:paraId="595FBA1E" w14:textId="77777777" w:rsidR="00BE6367" w:rsidRDefault="00C90F6A">
      <w:pPr>
        <w:jc w:val="both"/>
        <w:rPr>
          <w:rFonts w:ascii="Arial" w:eastAsia="Arial" w:hAnsi="Arial" w:cs="Arial"/>
          <w:sz w:val="20"/>
          <w:szCs w:val="20"/>
        </w:rPr>
      </w:pPr>
      <w:r>
        <w:rPr>
          <w:rFonts w:ascii="Arial" w:eastAsia="Arial" w:hAnsi="Arial" w:cs="Arial"/>
          <w:sz w:val="20"/>
          <w:szCs w:val="20"/>
        </w:rPr>
        <w:t>Las observaciones aquí contenidas no cuestionan la facultad de la Procuraduría General de la Nación para definir las necesidades tecnológicas que pretende satisfacer, ni la conveniencia de exigir soluciones empresariales de alto desempeño o plataformas tecnológicas especializadas.</w:t>
      </w:r>
    </w:p>
    <w:p w14:paraId="4873E5A4" w14:textId="77777777" w:rsidR="00BE6367" w:rsidRDefault="00C90F6A">
      <w:pPr>
        <w:jc w:val="both"/>
        <w:rPr>
          <w:rFonts w:ascii="Arial" w:eastAsia="Arial" w:hAnsi="Arial" w:cs="Arial"/>
          <w:sz w:val="20"/>
          <w:szCs w:val="20"/>
        </w:rPr>
      </w:pPr>
      <w:r>
        <w:rPr>
          <w:rFonts w:ascii="Arial" w:eastAsia="Arial" w:hAnsi="Arial" w:cs="Arial"/>
          <w:sz w:val="20"/>
          <w:szCs w:val="20"/>
        </w:rPr>
        <w:t>Su finalidad consiste exclusivamente en analizar si determinados requisitos habilitantes, técnicos, financieros, comerciales y de experiencia fueron estructurados de manera proporcional, razonable y compatible con los principios de libre concurrencia y selección objetiva, procurando que el mayor número posible de oferentes idóneos pueda participar en condiciones de igualdad.</w:t>
      </w:r>
    </w:p>
    <w:p w14:paraId="213DAF21" w14:textId="77777777" w:rsidR="00BE6367" w:rsidRDefault="00C90F6A">
      <w:pPr>
        <w:jc w:val="both"/>
        <w:rPr>
          <w:rFonts w:ascii="Arial" w:eastAsia="Arial" w:hAnsi="Arial" w:cs="Arial"/>
          <w:sz w:val="20"/>
          <w:szCs w:val="20"/>
        </w:rPr>
      </w:pPr>
      <w:r>
        <w:rPr>
          <w:rFonts w:ascii="Arial" w:eastAsia="Arial" w:hAnsi="Arial" w:cs="Arial"/>
          <w:sz w:val="20"/>
          <w:szCs w:val="20"/>
        </w:rPr>
        <w:t>En consecuencia, las solicitudes formuladas no pretenden disminuir el nivel técnico del proceso, sino proponer ajustes que permitan ampliar la competencia efectiva del mercado, sin afectar la calidad, funcionalidad, desempeño ni los objetivos institucionales perseguidos por la Entidad.</w:t>
      </w:r>
    </w:p>
    <w:p w14:paraId="567443B4"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No. 1</w:t>
      </w:r>
    </w:p>
    <w:p w14:paraId="45562B81"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EXPERIENCIA HABILITANTE</w:t>
      </w:r>
    </w:p>
    <w:p w14:paraId="15CFC8E9" w14:textId="77777777" w:rsidR="00BE6367" w:rsidRDefault="00C90F6A">
      <w:pPr>
        <w:jc w:val="both"/>
        <w:rPr>
          <w:rFonts w:ascii="Arial" w:eastAsia="Arial" w:hAnsi="Arial" w:cs="Arial"/>
          <w:b/>
          <w:bCs/>
          <w:sz w:val="20"/>
          <w:szCs w:val="20"/>
        </w:rPr>
      </w:pPr>
      <w:r>
        <w:rPr>
          <w:rFonts w:ascii="Arial" w:eastAsia="Arial" w:hAnsi="Arial" w:cs="Arial"/>
          <w:b/>
          <w:bCs/>
          <w:sz w:val="20"/>
          <w:szCs w:val="20"/>
        </w:rPr>
        <w:lastRenderedPageBreak/>
        <w:t>Requisito observado</w:t>
      </w:r>
    </w:p>
    <w:p w14:paraId="5F5B4C56" w14:textId="77777777" w:rsidR="00BE6367" w:rsidRDefault="00000000">
      <w:pPr>
        <w:jc w:val="both"/>
        <w:rPr>
          <w:rFonts w:ascii="Arial" w:eastAsia="Arial" w:hAnsi="Arial" w:cs="Arial"/>
          <w:sz w:val="20"/>
          <w:szCs w:val="20"/>
        </w:rPr>
      </w:pPr>
      <w:r>
        <w:pict w14:anchorId="19C8D087">
          <v:rect id="_x0000_i1042" style="width:0;height:1.5pt" o:hralign="center" o:hrstd="t" o:hr="t" fillcolor="#a0a0a0" stroked="f"/>
        </w:pict>
      </w:r>
    </w:p>
    <w:p w14:paraId="4C8C7A33"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w:t>
      </w:r>
    </w:p>
    <w:p w14:paraId="4438D324" w14:textId="77777777" w:rsidR="00BE6367" w:rsidRDefault="00C90F6A">
      <w:pPr>
        <w:jc w:val="both"/>
        <w:rPr>
          <w:rFonts w:ascii="Arial" w:eastAsia="Arial" w:hAnsi="Arial" w:cs="Arial"/>
          <w:sz w:val="20"/>
          <w:szCs w:val="20"/>
        </w:rPr>
      </w:pPr>
      <w:r>
        <w:rPr>
          <w:rFonts w:ascii="Arial" w:eastAsia="Arial" w:hAnsi="Arial" w:cs="Arial"/>
          <w:sz w:val="20"/>
          <w:szCs w:val="20"/>
        </w:rPr>
        <w:t>La experiencia constituye un requisito habilitante destinado a verificar la idoneidad técnica del proponente; sin embargo, su configuración debe responder a criterios de proporcionalidad y libre concurrencia.</w:t>
      </w:r>
    </w:p>
    <w:p w14:paraId="5308D309" w14:textId="77777777" w:rsidR="00BE6367" w:rsidRDefault="00C90F6A">
      <w:pPr>
        <w:jc w:val="both"/>
        <w:rPr>
          <w:rFonts w:ascii="Arial" w:eastAsia="Arial" w:hAnsi="Arial" w:cs="Arial"/>
          <w:sz w:val="20"/>
          <w:szCs w:val="20"/>
        </w:rPr>
      </w:pPr>
      <w:r>
        <w:rPr>
          <w:rFonts w:ascii="Arial" w:eastAsia="Arial" w:hAnsi="Arial" w:cs="Arial"/>
          <w:sz w:val="20"/>
          <w:szCs w:val="20"/>
        </w:rPr>
        <w:t>En el presente proceso la experiencia se limita simultáneamente por tres variables: (i) número de contratos, (ii) antigüedad máxima de siete (7) años y (iii) valor acumulado exigido. Si bien cada condición puede resultar razonable de manera aislada, su aplicación conjunta restringe la posibilidad de acreditar experiencia equivalente obtenida mediante un mayor número de contratos o en proyectos ejecutados con anterioridad al período previsto.</w:t>
      </w:r>
    </w:p>
    <w:p w14:paraId="1494DAA3" w14:textId="77777777" w:rsidR="00BE6367" w:rsidRDefault="00BE6367">
      <w:pPr>
        <w:jc w:val="both"/>
        <w:rPr>
          <w:rFonts w:ascii="Arial" w:eastAsia="Arial" w:hAnsi="Arial" w:cs="Arial"/>
          <w:sz w:val="20"/>
          <w:szCs w:val="20"/>
        </w:rPr>
      </w:pPr>
    </w:p>
    <w:p w14:paraId="2D9454F1" w14:textId="77777777" w:rsidR="00BE6367" w:rsidRDefault="00C90F6A">
      <w:pPr>
        <w:jc w:val="both"/>
        <w:rPr>
          <w:rFonts w:ascii="Arial" w:eastAsia="Arial" w:hAnsi="Arial" w:cs="Arial"/>
          <w:sz w:val="20"/>
          <w:szCs w:val="20"/>
        </w:rPr>
      </w:pPr>
      <w:r>
        <w:rPr>
          <w:rFonts w:ascii="Arial" w:eastAsia="Arial" w:hAnsi="Arial" w:cs="Arial"/>
          <w:sz w:val="20"/>
          <w:szCs w:val="20"/>
        </w:rPr>
        <w:t>En el mercado de integración tecnológica es frecuente que empresas con amplia trayectoria ejecuten numerosos contratos de suministro, instalación y puesta en funcionamiento de infraestructura tecnológica, cuya experiencia acumulada demuestra plenamente su capacidad técnica. En consecuencia, limitar el número de contratos y restringir simultáneamente su antigüedad reduce la pluralidad de oferentes sin que en los documentos del proceso se evidencie la justificación técnica que soporte dichas restricciones.</w:t>
      </w:r>
    </w:p>
    <w:p w14:paraId="2E8B5E18" w14:textId="77777777" w:rsidR="00BE6367" w:rsidRDefault="00C90F6A">
      <w:pPr>
        <w:jc w:val="both"/>
        <w:rPr>
          <w:rFonts w:ascii="Arial" w:eastAsia="Arial" w:hAnsi="Arial" w:cs="Arial"/>
          <w:sz w:val="20"/>
          <w:szCs w:val="20"/>
        </w:rPr>
      </w:pPr>
      <w:r>
        <w:rPr>
          <w:rFonts w:ascii="Arial" w:eastAsia="Arial" w:hAnsi="Arial" w:cs="Arial"/>
          <w:sz w:val="20"/>
          <w:szCs w:val="20"/>
        </w:rPr>
        <w:t>La jurisprudencia del Consejo de Estado y los lineamientos de Colombia Compra Eficiente han señalado que los requisitos habilitantes deben guardar relación con el objeto contractual y responder a criterios de necesidad y proporcionalidad, evitando restricciones injustificadas a la participación.</w:t>
      </w:r>
    </w:p>
    <w:p w14:paraId="33A58F91" w14:textId="77777777" w:rsidR="00BE6367" w:rsidRDefault="00000000">
      <w:pPr>
        <w:jc w:val="both"/>
        <w:rPr>
          <w:rFonts w:ascii="Arial" w:eastAsia="Arial" w:hAnsi="Arial" w:cs="Arial"/>
          <w:sz w:val="20"/>
          <w:szCs w:val="20"/>
        </w:rPr>
      </w:pPr>
      <w:r>
        <w:pict w14:anchorId="47F4875C">
          <v:rect id="_x0000_i1043" style="width:0;height:1.5pt" o:hralign="center" o:hrstd="t" o:hr="t" fillcolor="#a0a0a0" stroked="f"/>
        </w:pict>
      </w:r>
    </w:p>
    <w:p w14:paraId="71818723"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Fundamentos jurídicos</w:t>
      </w:r>
    </w:p>
    <w:p w14:paraId="112A4546" w14:textId="77777777" w:rsidR="00BE6367" w:rsidRDefault="00C90F6A">
      <w:pPr>
        <w:numPr>
          <w:ilvl w:val="0"/>
          <w:numId w:val="41"/>
        </w:numPr>
        <w:spacing w:after="0" w:line="240" w:lineRule="auto"/>
        <w:jc w:val="both"/>
        <w:rPr>
          <w:rFonts w:ascii="Arial" w:eastAsia="Arial" w:hAnsi="Arial" w:cs="Arial"/>
        </w:rPr>
      </w:pPr>
      <w:r>
        <w:rPr>
          <w:rFonts w:ascii="Arial" w:eastAsia="Arial" w:hAnsi="Arial" w:cs="Arial"/>
          <w:sz w:val="20"/>
          <w:szCs w:val="20"/>
        </w:rPr>
        <w:t xml:space="preserve">Artículos 13 y 209 de la Constitución Política. </w:t>
      </w:r>
    </w:p>
    <w:p w14:paraId="1DB05623" w14:textId="77777777" w:rsidR="00BE6367" w:rsidRDefault="00C90F6A">
      <w:pPr>
        <w:numPr>
          <w:ilvl w:val="0"/>
          <w:numId w:val="41"/>
        </w:numPr>
        <w:spacing w:after="0" w:line="240" w:lineRule="auto"/>
        <w:jc w:val="both"/>
        <w:rPr>
          <w:rFonts w:ascii="Arial" w:eastAsia="Arial" w:hAnsi="Arial" w:cs="Arial"/>
        </w:rPr>
      </w:pPr>
      <w:r>
        <w:rPr>
          <w:rFonts w:ascii="Arial" w:eastAsia="Arial" w:hAnsi="Arial" w:cs="Arial"/>
          <w:sz w:val="20"/>
          <w:szCs w:val="20"/>
        </w:rPr>
        <w:t xml:space="preserve">Artículos 24, 25 y 29 de la Ley 80 de 1993. </w:t>
      </w:r>
    </w:p>
    <w:p w14:paraId="10E5500A" w14:textId="77777777" w:rsidR="00BE6367" w:rsidRDefault="00C90F6A">
      <w:pPr>
        <w:numPr>
          <w:ilvl w:val="0"/>
          <w:numId w:val="41"/>
        </w:numPr>
        <w:spacing w:after="0" w:line="240" w:lineRule="auto"/>
        <w:jc w:val="both"/>
        <w:rPr>
          <w:rFonts w:ascii="Arial" w:eastAsia="Arial" w:hAnsi="Arial" w:cs="Arial"/>
        </w:rPr>
      </w:pPr>
      <w:r>
        <w:rPr>
          <w:rFonts w:ascii="Arial" w:eastAsia="Arial" w:hAnsi="Arial" w:cs="Arial"/>
          <w:sz w:val="20"/>
          <w:szCs w:val="20"/>
        </w:rPr>
        <w:t xml:space="preserve">Artículo 5 de la Ley 1150 de 2007. </w:t>
      </w:r>
    </w:p>
    <w:p w14:paraId="483C4282" w14:textId="77777777" w:rsidR="00BE6367" w:rsidRDefault="00C90F6A">
      <w:pPr>
        <w:numPr>
          <w:ilvl w:val="0"/>
          <w:numId w:val="41"/>
        </w:numPr>
        <w:spacing w:after="0" w:line="240" w:lineRule="auto"/>
        <w:jc w:val="both"/>
        <w:rPr>
          <w:rFonts w:ascii="Arial" w:eastAsia="Arial" w:hAnsi="Arial" w:cs="Arial"/>
        </w:rPr>
      </w:pPr>
      <w:r>
        <w:rPr>
          <w:rFonts w:ascii="Arial" w:eastAsia="Arial" w:hAnsi="Arial" w:cs="Arial"/>
          <w:sz w:val="20"/>
          <w:szCs w:val="20"/>
        </w:rPr>
        <w:t xml:space="preserve">Artículo 2.2.1.1.1.5.2 del Decreto 1082 de 2015. </w:t>
      </w:r>
    </w:p>
    <w:p w14:paraId="4AD05BE1" w14:textId="77777777" w:rsidR="00BE6367" w:rsidRDefault="00C90F6A">
      <w:pPr>
        <w:numPr>
          <w:ilvl w:val="0"/>
          <w:numId w:val="41"/>
        </w:numPr>
        <w:spacing w:after="0" w:line="240" w:lineRule="auto"/>
        <w:jc w:val="both"/>
        <w:rPr>
          <w:rFonts w:ascii="Arial" w:eastAsia="Arial" w:hAnsi="Arial" w:cs="Arial"/>
        </w:rPr>
      </w:pPr>
      <w:r>
        <w:rPr>
          <w:rFonts w:ascii="Arial" w:eastAsia="Arial" w:hAnsi="Arial" w:cs="Arial"/>
          <w:sz w:val="20"/>
          <w:szCs w:val="20"/>
        </w:rPr>
        <w:t xml:space="preserve">Guía de Colombia Compra Eficiente para determinar y verificar requisitos habilitantes. </w:t>
      </w:r>
    </w:p>
    <w:p w14:paraId="36619ABC" w14:textId="77777777" w:rsidR="00BE6367" w:rsidRDefault="00C90F6A">
      <w:pPr>
        <w:numPr>
          <w:ilvl w:val="0"/>
          <w:numId w:val="41"/>
        </w:numPr>
        <w:spacing w:after="0" w:line="240" w:lineRule="auto"/>
        <w:jc w:val="both"/>
        <w:rPr>
          <w:rFonts w:ascii="Arial" w:eastAsia="Arial" w:hAnsi="Arial" w:cs="Arial"/>
        </w:rPr>
      </w:pPr>
      <w:r>
        <w:rPr>
          <w:rFonts w:ascii="Arial" w:eastAsia="Arial" w:hAnsi="Arial" w:cs="Arial"/>
          <w:sz w:val="20"/>
          <w:szCs w:val="20"/>
        </w:rPr>
        <w:t xml:space="preserve">Jurisprudencia del Consejo de Estado sobre proporcionalidad de los requisitos habilitantes. </w:t>
      </w:r>
    </w:p>
    <w:p w14:paraId="5979E986" w14:textId="77777777" w:rsidR="00BE6367" w:rsidRDefault="00000000">
      <w:pPr>
        <w:jc w:val="both"/>
        <w:rPr>
          <w:rFonts w:ascii="Arial" w:eastAsia="Arial" w:hAnsi="Arial" w:cs="Arial"/>
          <w:sz w:val="20"/>
          <w:szCs w:val="20"/>
        </w:rPr>
      </w:pPr>
      <w:r>
        <w:pict w14:anchorId="0AF9B6BB">
          <v:rect id="_x0000_i1044" style="width:0;height:1.5pt" o:hralign="center" o:hrstd="t" o:hr="t" fillcolor="#a0a0a0" stroked="f"/>
        </w:pict>
      </w:r>
    </w:p>
    <w:p w14:paraId="3500A19B"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Solicitamos</w:t>
      </w:r>
    </w:p>
    <w:p w14:paraId="74448EAC" w14:textId="77777777" w:rsidR="00BE6367" w:rsidRDefault="00C90F6A">
      <w:pPr>
        <w:jc w:val="both"/>
        <w:rPr>
          <w:rFonts w:ascii="Arial" w:eastAsia="Arial" w:hAnsi="Arial" w:cs="Arial"/>
          <w:sz w:val="20"/>
          <w:szCs w:val="20"/>
        </w:rPr>
      </w:pPr>
      <w:r>
        <w:rPr>
          <w:rFonts w:ascii="Arial" w:eastAsia="Arial" w:hAnsi="Arial" w:cs="Arial"/>
          <w:sz w:val="20"/>
          <w:szCs w:val="20"/>
        </w:rPr>
        <w:t>Revisar la forma de acreditar la experiencia, permitiendo que ésta pueda demostrarse mediante un mayor número de contratos relacionados con el objeto contractual y revisar la limitación temporal de siete (7) años o, en su defecto, publicar el soporte técnico que justifique dicha restricción.</w:t>
      </w:r>
    </w:p>
    <w:p w14:paraId="052254C0" w14:textId="77777777" w:rsidR="00BE6367" w:rsidRDefault="00000000">
      <w:pPr>
        <w:jc w:val="both"/>
        <w:rPr>
          <w:rFonts w:ascii="Arial" w:eastAsia="Arial" w:hAnsi="Arial" w:cs="Arial"/>
          <w:sz w:val="20"/>
          <w:szCs w:val="20"/>
        </w:rPr>
      </w:pPr>
      <w:r>
        <w:pict w14:anchorId="28E3E366">
          <v:rect id="_x0000_i1045" style="width:0;height:1.5pt" o:hralign="center" o:hrstd="t" o:hr="t" fillcolor="#a0a0a0" stroked="f"/>
        </w:pict>
      </w:r>
    </w:p>
    <w:p w14:paraId="1119EB65"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Propuesta de ajuste</w:t>
      </w:r>
    </w:p>
    <w:p w14:paraId="2A684A86" w14:textId="77777777" w:rsidR="00BE6367" w:rsidRDefault="00C90F6A">
      <w:pPr>
        <w:jc w:val="both"/>
        <w:rPr>
          <w:rFonts w:ascii="Arial" w:eastAsia="Arial" w:hAnsi="Arial" w:cs="Arial"/>
          <w:sz w:val="20"/>
          <w:szCs w:val="20"/>
        </w:rPr>
      </w:pPr>
      <w:r>
        <w:rPr>
          <w:rFonts w:ascii="Arial" w:eastAsia="Arial" w:hAnsi="Arial" w:cs="Arial"/>
          <w:sz w:val="20"/>
          <w:szCs w:val="20"/>
        </w:rPr>
        <w:t>Permitir que la experiencia sea acreditada mediante uno o más contratos relacionados con el objeto del proceso, siempre que el valor acumulado cumpla el monto exigido por la Entidad.</w:t>
      </w:r>
    </w:p>
    <w:p w14:paraId="7DFFBF6E" w14:textId="77777777" w:rsidR="00BE6367" w:rsidRDefault="00000000">
      <w:pPr>
        <w:jc w:val="both"/>
        <w:rPr>
          <w:rFonts w:ascii="Arial" w:eastAsia="Arial" w:hAnsi="Arial" w:cs="Arial"/>
          <w:sz w:val="20"/>
          <w:szCs w:val="20"/>
        </w:rPr>
      </w:pPr>
      <w:r>
        <w:lastRenderedPageBreak/>
        <w:pict w14:anchorId="49979420">
          <v:rect id="_x0000_i1046" style="width:0;height:1.5pt" o:hralign="center" o:hrstd="t" o:hr="t" fillcolor="#a0a0a0" stroked="f"/>
        </w:pict>
      </w:r>
      <w:r w:rsidR="00C90F6A">
        <w:rPr>
          <w:rFonts w:ascii="Arial" w:eastAsia="Arial" w:hAnsi="Arial" w:cs="Arial"/>
          <w:b/>
          <w:bCs/>
          <w:sz w:val="20"/>
          <w:szCs w:val="20"/>
        </w:rPr>
        <w:t xml:space="preserve">RESPUESTA A OBSERVACIÓN: </w:t>
      </w:r>
      <w:r w:rsidR="00C90F6A">
        <w:rPr>
          <w:rFonts w:ascii="Arial" w:eastAsia="Arial" w:hAnsi="Arial" w:cs="Arial"/>
          <w:sz w:val="20"/>
          <w:szCs w:val="20"/>
        </w:rPr>
        <w:t>Se acepta parcialmente la observación.</w:t>
      </w:r>
    </w:p>
    <w:p w14:paraId="575FED79" w14:textId="77777777" w:rsidR="00BE6367" w:rsidRDefault="00C90F6A">
      <w:pPr>
        <w:jc w:val="both"/>
        <w:rPr>
          <w:rFonts w:ascii="Arial" w:eastAsia="Arial" w:hAnsi="Arial" w:cs="Arial"/>
          <w:sz w:val="20"/>
          <w:szCs w:val="20"/>
        </w:rPr>
      </w:pPr>
      <w:r>
        <w:rPr>
          <w:rFonts w:ascii="Arial" w:eastAsia="Arial" w:hAnsi="Arial" w:cs="Arial"/>
          <w:sz w:val="20"/>
          <w:szCs w:val="20"/>
        </w:rPr>
        <w:t>En relación con la solicitud de ampliar el número de contratos para acreditar la experiencia, la Entidad informa que este aspecto ya fue analizado con ocasión de una observación anterior. En consecuencia, se modificará la Ficha Técnica de Negociación para permitir que la experiencia habilitante sea acreditada mediante máximo ocho (8) contratos ejecutados, terminados y/o liquidados.</w:t>
      </w:r>
    </w:p>
    <w:p w14:paraId="16262762"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obstante, frente a la solicitud de revisar o eliminar una supuesta limitación de antigüedad máxima de siete (7) años, la Entidad se permite aclarar que la Ficha Técnica de Negociación y la Ficha Técnica de Producto no establecen una restricción general según la cual los contratos aportados para acreditar experiencia deban haber sido ejecutados dentro de los últimos siete (7) años.</w:t>
      </w:r>
    </w:p>
    <w:p w14:paraId="50C187B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experiencia general podrá ser acreditada mediante los contratos que cumplan con las condiciones de objeto, alcance, actividades, inscripción en el Registro Único de Proponentes, estado de ejecución y valor acumulado previstas en la Ficha Técnica de Negociación, sin que se haya fijado para estos una antigüedad máxima de siete (7) años.</w:t>
      </w:r>
    </w:p>
    <w:p w14:paraId="2B8011EF"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precisa que la Ficha Técnica de Negociación únicamente contempla una condición temporal especial respecto de la experiencia específica relacionada con la implementación de plataformas de software de gestión de audiencias o sesiones, para la cual se exige acreditar al menos una implementación realizada dentro de los últimos cinco (5) años. Esta condición corresponde a un requisito específico y no constituye una limitación temporal aplicable a todos los contratos aportados para acreditar la experiencia general.</w:t>
      </w:r>
    </w:p>
    <w:p w14:paraId="6B3CB5D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no resulta procedente modificar o eliminar una condición general de siete (7) años que no se encuentra establecida en los documentos del proceso.</w:t>
      </w:r>
    </w:p>
    <w:p w14:paraId="131A00C2"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No. 2</w:t>
      </w:r>
    </w:p>
    <w:p w14:paraId="679BD6BC"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CAPACIDAD ORGANIZACIONAL</w:t>
      </w:r>
    </w:p>
    <w:p w14:paraId="6089D658"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REQUISITO OBSERVADO</w:t>
      </w:r>
    </w:p>
    <w:p w14:paraId="22F0C4F6"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La Ficha Técnica de Negociación exige acreditar una </w:t>
      </w:r>
      <w:r>
        <w:rPr>
          <w:rFonts w:ascii="Arial" w:eastAsia="Arial" w:hAnsi="Arial" w:cs="Arial"/>
          <w:b/>
          <w:bCs/>
          <w:sz w:val="20"/>
          <w:szCs w:val="20"/>
        </w:rPr>
        <w:t>Rentabilidad del Activo</w:t>
      </w:r>
      <w:r>
        <w:rPr>
          <w:rFonts w:ascii="Arial" w:eastAsia="Arial" w:hAnsi="Arial" w:cs="Arial"/>
          <w:sz w:val="20"/>
          <w:szCs w:val="20"/>
        </w:rPr>
        <w:t xml:space="preserve"> igual o superior al </w:t>
      </w:r>
      <w:r>
        <w:rPr>
          <w:rFonts w:ascii="Arial" w:eastAsia="Arial" w:hAnsi="Arial" w:cs="Arial"/>
          <w:b/>
          <w:bCs/>
          <w:sz w:val="20"/>
          <w:szCs w:val="20"/>
        </w:rPr>
        <w:t>4%</w:t>
      </w:r>
      <w:r>
        <w:rPr>
          <w:rFonts w:ascii="Arial" w:eastAsia="Arial" w:hAnsi="Arial" w:cs="Arial"/>
          <w:sz w:val="20"/>
          <w:szCs w:val="20"/>
        </w:rPr>
        <w:t xml:space="preserve"> y una </w:t>
      </w:r>
      <w:r>
        <w:rPr>
          <w:rFonts w:ascii="Arial" w:eastAsia="Arial" w:hAnsi="Arial" w:cs="Arial"/>
          <w:b/>
          <w:bCs/>
          <w:sz w:val="20"/>
          <w:szCs w:val="20"/>
        </w:rPr>
        <w:t>Rentabilidad del Patrimonio</w:t>
      </w:r>
      <w:r>
        <w:rPr>
          <w:rFonts w:ascii="Arial" w:eastAsia="Arial" w:hAnsi="Arial" w:cs="Arial"/>
          <w:sz w:val="20"/>
          <w:szCs w:val="20"/>
        </w:rPr>
        <w:t xml:space="preserve"> igual o superior al </w:t>
      </w:r>
      <w:r>
        <w:rPr>
          <w:rFonts w:ascii="Arial" w:eastAsia="Arial" w:hAnsi="Arial" w:cs="Arial"/>
          <w:b/>
          <w:bCs/>
          <w:sz w:val="20"/>
          <w:szCs w:val="20"/>
        </w:rPr>
        <w:t>8%</w:t>
      </w:r>
      <w:r>
        <w:rPr>
          <w:rFonts w:ascii="Arial" w:eastAsia="Arial" w:hAnsi="Arial" w:cs="Arial"/>
          <w:sz w:val="20"/>
          <w:szCs w:val="20"/>
        </w:rPr>
        <w:t>, como requisitos habilitantes de capacidad organizacional.</w:t>
      </w:r>
    </w:p>
    <w:p w14:paraId="09C0E6CA" w14:textId="77777777" w:rsidR="00BE6367" w:rsidRDefault="00C90F6A">
      <w:pPr>
        <w:jc w:val="both"/>
        <w:rPr>
          <w:rFonts w:ascii="Arial" w:eastAsia="Arial" w:hAnsi="Arial" w:cs="Arial"/>
          <w:sz w:val="20"/>
          <w:szCs w:val="20"/>
        </w:rPr>
      </w:pPr>
      <w:r>
        <w:rPr>
          <w:rFonts w:ascii="Arial" w:eastAsia="Arial" w:hAnsi="Arial" w:cs="Arial"/>
          <w:sz w:val="20"/>
          <w:szCs w:val="20"/>
        </w:rPr>
        <w:t>Si bien la Entidad puede establecer indicadores que permitan verificar la capacidad organizacional del futuro contratista, los porcentajes definidos deben encontrarse sustentados en el análisis del sector y responder a criterios de necesidad y proporcionalidad.</w:t>
      </w:r>
    </w:p>
    <w:p w14:paraId="4862898E"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Llama la atención que la </w:t>
      </w:r>
      <w:r>
        <w:rPr>
          <w:rFonts w:ascii="Arial" w:eastAsia="Arial" w:hAnsi="Arial" w:cs="Arial"/>
          <w:b/>
          <w:bCs/>
          <w:sz w:val="20"/>
          <w:szCs w:val="20"/>
        </w:rPr>
        <w:t>Rentabilidad del Patrimonio</w:t>
      </w:r>
      <w:r>
        <w:rPr>
          <w:rFonts w:ascii="Arial" w:eastAsia="Arial" w:hAnsi="Arial" w:cs="Arial"/>
          <w:sz w:val="20"/>
          <w:szCs w:val="20"/>
        </w:rPr>
        <w:t xml:space="preserve"> se establezca en un porcentaje significativamente superior al que habitualmente se observa en procesos de contratación pública de características similares, sin que en los documentos publicados se evidencie la metodología utilizada para determinar dicho umbral.</w:t>
      </w:r>
    </w:p>
    <w:p w14:paraId="0743F2F1"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En el sector de tecnologías de la información es frecuente encontrar empresas con amplia experiencia, solidez financiera y capacidad operativa, cuyos niveles de rentabilidad responden a políticas de reinversión, crecimiento empresarial o modelos de negocio de altos volúmenes y bajos márgenes. En consecuencia, un indicador de rentabilidad superior al comúnmente </w:t>
      </w:r>
      <w:r>
        <w:rPr>
          <w:rFonts w:ascii="Arial" w:eastAsia="Arial" w:hAnsi="Arial" w:cs="Arial"/>
          <w:sz w:val="20"/>
          <w:szCs w:val="20"/>
        </w:rPr>
        <w:lastRenderedPageBreak/>
        <w:t>utilizado podría restringir la participación de empresas plenamente idóneas sin representar necesariamente una mayor garantía para la adecuada ejecución del contrato.</w:t>
      </w:r>
    </w:p>
    <w:p w14:paraId="54CBBFAC" w14:textId="77777777" w:rsidR="00BE6367" w:rsidRDefault="00000000">
      <w:pPr>
        <w:jc w:val="both"/>
        <w:rPr>
          <w:rFonts w:ascii="Arial" w:eastAsia="Arial" w:hAnsi="Arial" w:cs="Arial"/>
          <w:sz w:val="20"/>
          <w:szCs w:val="20"/>
        </w:rPr>
      </w:pPr>
      <w:r>
        <w:pict w14:anchorId="571A61D2">
          <v:rect id="_x0000_i1047" style="width:0;height:1.5pt" o:hralign="center" o:hrstd="t" o:hr="t" fillcolor="#a0a0a0" stroked="f"/>
        </w:pict>
      </w:r>
    </w:p>
    <w:p w14:paraId="27850533"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Fundamentos jurídicos</w:t>
      </w:r>
    </w:p>
    <w:p w14:paraId="35253598" w14:textId="77777777" w:rsidR="00BE6367" w:rsidRDefault="00C90F6A">
      <w:pPr>
        <w:numPr>
          <w:ilvl w:val="0"/>
          <w:numId w:val="42"/>
        </w:numPr>
        <w:spacing w:after="0" w:line="240" w:lineRule="auto"/>
        <w:jc w:val="both"/>
        <w:rPr>
          <w:rFonts w:ascii="Arial" w:eastAsia="Arial" w:hAnsi="Arial" w:cs="Arial"/>
        </w:rPr>
      </w:pPr>
      <w:r>
        <w:rPr>
          <w:rFonts w:ascii="Arial" w:eastAsia="Arial" w:hAnsi="Arial" w:cs="Arial"/>
          <w:sz w:val="20"/>
          <w:szCs w:val="20"/>
        </w:rPr>
        <w:t xml:space="preserve">Artículos 24, 25 y 29 de la Ley 80 de 1993. </w:t>
      </w:r>
    </w:p>
    <w:p w14:paraId="6F85C74E" w14:textId="77777777" w:rsidR="00BE6367" w:rsidRDefault="00C90F6A">
      <w:pPr>
        <w:numPr>
          <w:ilvl w:val="0"/>
          <w:numId w:val="42"/>
        </w:numPr>
        <w:spacing w:after="0" w:line="240" w:lineRule="auto"/>
        <w:jc w:val="both"/>
        <w:rPr>
          <w:rFonts w:ascii="Arial" w:eastAsia="Arial" w:hAnsi="Arial" w:cs="Arial"/>
        </w:rPr>
      </w:pPr>
      <w:r>
        <w:rPr>
          <w:rFonts w:ascii="Arial" w:eastAsia="Arial" w:hAnsi="Arial" w:cs="Arial"/>
          <w:sz w:val="20"/>
          <w:szCs w:val="20"/>
        </w:rPr>
        <w:t xml:space="preserve">Artículo 5 de la Ley 1150 de 2007. </w:t>
      </w:r>
    </w:p>
    <w:p w14:paraId="7A3BF94A" w14:textId="77777777" w:rsidR="00BE6367" w:rsidRDefault="00C90F6A">
      <w:pPr>
        <w:numPr>
          <w:ilvl w:val="0"/>
          <w:numId w:val="42"/>
        </w:numPr>
        <w:spacing w:after="0" w:line="240" w:lineRule="auto"/>
        <w:jc w:val="both"/>
        <w:rPr>
          <w:rFonts w:ascii="Arial" w:eastAsia="Arial" w:hAnsi="Arial" w:cs="Arial"/>
        </w:rPr>
      </w:pPr>
      <w:r>
        <w:rPr>
          <w:rFonts w:ascii="Arial" w:eastAsia="Arial" w:hAnsi="Arial" w:cs="Arial"/>
          <w:sz w:val="20"/>
          <w:szCs w:val="20"/>
        </w:rPr>
        <w:t xml:space="preserve">Artículo 2.2.1.1.1.5.3 del Decreto 1082 de 2015. </w:t>
      </w:r>
    </w:p>
    <w:p w14:paraId="69D772C2" w14:textId="77777777" w:rsidR="00BE6367" w:rsidRDefault="00C90F6A">
      <w:pPr>
        <w:numPr>
          <w:ilvl w:val="0"/>
          <w:numId w:val="42"/>
        </w:numPr>
        <w:spacing w:after="0" w:line="240" w:lineRule="auto"/>
        <w:jc w:val="both"/>
        <w:rPr>
          <w:rFonts w:ascii="Arial" w:eastAsia="Arial" w:hAnsi="Arial" w:cs="Arial"/>
        </w:rPr>
      </w:pPr>
      <w:r>
        <w:rPr>
          <w:rFonts w:ascii="Arial" w:eastAsia="Arial" w:hAnsi="Arial" w:cs="Arial"/>
          <w:sz w:val="20"/>
          <w:szCs w:val="20"/>
        </w:rPr>
        <w:t xml:space="preserve">Guía de Colombia Compra Eficiente para determinar y verificar los requisitos habilitantes. </w:t>
      </w:r>
    </w:p>
    <w:p w14:paraId="095A6574" w14:textId="77777777" w:rsidR="00BE6367" w:rsidRDefault="00000000">
      <w:pPr>
        <w:jc w:val="both"/>
        <w:rPr>
          <w:rFonts w:ascii="Arial" w:eastAsia="Arial" w:hAnsi="Arial" w:cs="Arial"/>
          <w:sz w:val="20"/>
          <w:szCs w:val="20"/>
        </w:rPr>
      </w:pPr>
      <w:r>
        <w:pict w14:anchorId="2A279918">
          <v:rect id="_x0000_i1048" style="width:0;height:1.5pt" o:hralign="center" o:hrstd="t" o:hr="t" fillcolor="#a0a0a0" stroked="f"/>
        </w:pict>
      </w:r>
    </w:p>
    <w:p w14:paraId="6BF2D8F9"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Solicitamos</w:t>
      </w:r>
    </w:p>
    <w:p w14:paraId="5E7AAD62"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Revisar los indicadores de capacidad organizacional establecidos en la FTN y fijar tanto la </w:t>
      </w:r>
      <w:r>
        <w:rPr>
          <w:rFonts w:ascii="Arial" w:eastAsia="Arial" w:hAnsi="Arial" w:cs="Arial"/>
          <w:b/>
          <w:bCs/>
          <w:sz w:val="20"/>
          <w:szCs w:val="20"/>
        </w:rPr>
        <w:t>Rentabilidad del Activo</w:t>
      </w:r>
      <w:r>
        <w:rPr>
          <w:rFonts w:ascii="Arial" w:eastAsia="Arial" w:hAnsi="Arial" w:cs="Arial"/>
          <w:sz w:val="20"/>
          <w:szCs w:val="20"/>
        </w:rPr>
        <w:t xml:space="preserve"> como la </w:t>
      </w:r>
      <w:r>
        <w:rPr>
          <w:rFonts w:ascii="Arial" w:eastAsia="Arial" w:hAnsi="Arial" w:cs="Arial"/>
          <w:b/>
          <w:bCs/>
          <w:sz w:val="20"/>
          <w:szCs w:val="20"/>
        </w:rPr>
        <w:t>Rentabilidad del Patrimonio</w:t>
      </w:r>
      <w:r>
        <w:rPr>
          <w:rFonts w:ascii="Arial" w:eastAsia="Arial" w:hAnsi="Arial" w:cs="Arial"/>
          <w:sz w:val="20"/>
          <w:szCs w:val="20"/>
        </w:rPr>
        <w:t xml:space="preserve"> en un porcentaje mínimo del </w:t>
      </w:r>
      <w:r>
        <w:rPr>
          <w:rFonts w:ascii="Arial" w:eastAsia="Arial" w:hAnsi="Arial" w:cs="Arial"/>
          <w:b/>
          <w:bCs/>
          <w:sz w:val="20"/>
          <w:szCs w:val="20"/>
        </w:rPr>
        <w:t>4%</w:t>
      </w:r>
      <w:r>
        <w:rPr>
          <w:rFonts w:ascii="Arial" w:eastAsia="Arial" w:hAnsi="Arial" w:cs="Arial"/>
          <w:sz w:val="20"/>
          <w:szCs w:val="20"/>
        </w:rPr>
        <w:t>, o, en su defecto, publicar el estudio técnico y estadístico que justifique la necesidad de mantener un porcentaje superior para este último indicador.</w:t>
      </w:r>
    </w:p>
    <w:p w14:paraId="235A7C38" w14:textId="77777777" w:rsidR="00BE6367" w:rsidRDefault="00000000">
      <w:pPr>
        <w:jc w:val="both"/>
        <w:rPr>
          <w:rFonts w:ascii="Arial" w:eastAsia="Arial" w:hAnsi="Arial" w:cs="Arial"/>
          <w:sz w:val="20"/>
          <w:szCs w:val="20"/>
        </w:rPr>
      </w:pPr>
      <w:r>
        <w:pict w14:anchorId="4C290576">
          <v:rect id="_x0000_i1049" style="width:0;height:1.5pt" o:hralign="center" o:hrstd="t" o:hr="t" fillcolor="#a0a0a0" stroked="f"/>
        </w:pict>
      </w:r>
    </w:p>
    <w:p w14:paraId="615C2E3C"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Propuesta de ajuste</w:t>
      </w:r>
    </w:p>
    <w:p w14:paraId="28668EFD" w14:textId="77777777" w:rsidR="00BE6367" w:rsidRDefault="00BE6367">
      <w:pPr>
        <w:jc w:val="both"/>
        <w:rPr>
          <w:rFonts w:ascii="Arial" w:eastAsia="Arial" w:hAnsi="Arial" w:cs="Arial"/>
          <w:b/>
          <w:bCs/>
          <w:sz w:val="20"/>
          <w:szCs w:val="20"/>
        </w:rPr>
      </w:pPr>
    </w:p>
    <w:p w14:paraId="01883590"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Establecer como indicadores mínimos de capacidad organizacional una </w:t>
      </w:r>
      <w:r>
        <w:rPr>
          <w:rFonts w:ascii="Arial" w:eastAsia="Arial" w:hAnsi="Arial" w:cs="Arial"/>
          <w:b/>
          <w:bCs/>
          <w:sz w:val="20"/>
          <w:szCs w:val="20"/>
        </w:rPr>
        <w:t>Rentabilidad del Activo igual o superior al 4%</w:t>
      </w:r>
      <w:r>
        <w:rPr>
          <w:rFonts w:ascii="Arial" w:eastAsia="Arial" w:hAnsi="Arial" w:cs="Arial"/>
          <w:sz w:val="20"/>
          <w:szCs w:val="20"/>
        </w:rPr>
        <w:t xml:space="preserve"> y una </w:t>
      </w:r>
      <w:r>
        <w:rPr>
          <w:rFonts w:ascii="Arial" w:eastAsia="Arial" w:hAnsi="Arial" w:cs="Arial"/>
          <w:b/>
          <w:bCs/>
          <w:sz w:val="20"/>
          <w:szCs w:val="20"/>
        </w:rPr>
        <w:t>Rentabilidad del Patrimonio igual o superior al 4%</w:t>
      </w:r>
      <w:r>
        <w:rPr>
          <w:rFonts w:ascii="Arial" w:eastAsia="Arial" w:hAnsi="Arial" w:cs="Arial"/>
          <w:sz w:val="20"/>
          <w:szCs w:val="20"/>
        </w:rPr>
        <w:t>, salvo que la Entidad demuestre técnicamente, mediante el análisis del sector, la necesidad de exigir un porcentaje superior.</w:t>
      </w:r>
    </w:p>
    <w:p w14:paraId="617B8AE2" w14:textId="77777777" w:rsidR="00BE6367" w:rsidRDefault="00000000">
      <w:pPr>
        <w:jc w:val="both"/>
        <w:rPr>
          <w:rFonts w:ascii="Arial" w:eastAsia="Arial" w:hAnsi="Arial" w:cs="Arial"/>
          <w:sz w:val="20"/>
          <w:szCs w:val="20"/>
        </w:rPr>
      </w:pPr>
      <w:r>
        <w:pict w14:anchorId="5CC34E3E">
          <v:rect id="_x0000_i1050" style="width:0;height:1.5pt" o:hralign="center" o:hrstd="t" o:hr="t" fillcolor="#a0a0a0" stroked="f"/>
        </w:pict>
      </w:r>
    </w:p>
    <w:p w14:paraId="5B8BFB6F"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2439B5E1" w14:textId="77777777" w:rsidR="00BE6367" w:rsidRDefault="00C90F6A">
      <w:pPr>
        <w:jc w:val="both"/>
        <w:rPr>
          <w:rFonts w:ascii="Arial" w:eastAsia="Arial" w:hAnsi="Arial" w:cs="Arial"/>
          <w:sz w:val="20"/>
          <w:szCs w:val="20"/>
        </w:rPr>
      </w:pPr>
      <w:r>
        <w:rPr>
          <w:rFonts w:ascii="Arial" w:eastAsia="Arial" w:hAnsi="Arial" w:cs="Arial"/>
          <w:sz w:val="20"/>
          <w:szCs w:val="20"/>
        </w:rPr>
        <w:t>No se acepta la observación.</w:t>
      </w:r>
    </w:p>
    <w:p w14:paraId="5503496F"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Procuraduría General de la Nación estableció los requisitos de capacidad organizacional dentro del marco normativo vigente y con fundamento en el análisis económico, financiero y empresarial del sector relacionado con el suministro, implementación y soporte de equipos de cómputo, periféricos y soluciones audiovisuales.</w:t>
      </w:r>
    </w:p>
    <w:p w14:paraId="7A251936"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Contrario a lo señalado por el observante, los indicadores exigidos no fueron determinados de manera arbitraria ni corresponden a porcentajes ajenos a las condiciones del mercado. El análisis del sector identifica la existencia de una oferta amplia y competitiva, integrada por fabricantes, mayoristas, distribuidores autorizados, integradores tecnológicos y proveedores especializados con capacidad técnica, operativa y financiera para atender las necesidades de la Entidad. Asimismo, el estudio concluye que el mercado presenta condiciones favorables de competencia, pluralidad de oferentes y disponibilidad de alternativas tecnológicas.</w:t>
      </w:r>
    </w:p>
    <w:p w14:paraId="7C45306A"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 xml:space="preserve">La Rentabilidad del Activo mayor o igual a 0,04 y la Rentabilidad del Patrimonio mayor o igual a 0,08 fueron establecidas como condiciones mínimas destinadas a verificar que los potenciales comitentes vendedores cuenten con una estructura organizacional que les permita responder adecuadamente por las obligaciones derivadas de la negociación. Estos indicadores se </w:t>
      </w:r>
      <w:r>
        <w:rPr>
          <w:rFonts w:ascii="Arial" w:eastAsia="Arial" w:hAnsi="Arial" w:cs="Arial"/>
          <w:sz w:val="20"/>
          <w:szCs w:val="20"/>
        </w:rPr>
        <w:lastRenderedPageBreak/>
        <w:t xml:space="preserve">verifican con la información financiera reportada en el Registro Único de Proponentes RUP correspondiente al año 2025. </w:t>
      </w:r>
    </w:p>
    <w:p w14:paraId="055F3FD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 xml:space="preserve">Si bien el análisis del sector reconoce una participación significativa de micro, pequeñas y medianas empresas, también determinó que no resulta procedente aplicar criterios diferenciales respecto de los índices de capacidad financiera y organizacional. </w:t>
      </w:r>
    </w:p>
    <w:p w14:paraId="3220827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 xml:space="preserve">En consecuencia, dichos indicadores deben ser cumplidos por los participantes bajo las condiciones generales definidas para el proceso, sin perjuicio de los criterios diferenciales que resulten aplicables en materia de acreditación de experiencia. </w:t>
      </w:r>
    </w:p>
    <w:p w14:paraId="24397F33"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pluralidad de oferentes y la libre concurrencia no implican que la Entidad deba reducir los requisitos habilitantes hasta el nivel particular solicitado por cada interesado. Estos principios deben armonizarse con la selección objetiva, la adecuada administración de los riesgos, la protección de los recursos públicos y la necesidad de verificar que el futuro contratista cuente con capacidad suficiente para cumplir integralmente el objeto contractual.</w:t>
      </w:r>
    </w:p>
    <w:p w14:paraId="4CD17FF3"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Así las cosas, los indicadores establecidos son adecuados, razonables y proporcionales a la naturaleza, cuantía y complejidad de la negociación, y se encuentran respaldados por el análisis del sector publicado dentro de los documentos del proceso.</w:t>
      </w:r>
    </w:p>
    <w:p w14:paraId="1C265E81" w14:textId="77777777" w:rsidR="00BE6367" w:rsidRDefault="00C90F6A">
      <w:pPr>
        <w:spacing w:before="240" w:after="240"/>
        <w:jc w:val="both"/>
        <w:rPr>
          <w:rFonts w:ascii="Arial" w:eastAsia="Arial" w:hAnsi="Arial" w:cs="Arial"/>
          <w:b/>
          <w:bCs/>
          <w:sz w:val="20"/>
          <w:szCs w:val="20"/>
        </w:rPr>
      </w:pPr>
      <w:r>
        <w:rPr>
          <w:rFonts w:ascii="Arial" w:eastAsia="Arial" w:hAnsi="Arial" w:cs="Arial"/>
          <w:sz w:val="20"/>
          <w:szCs w:val="20"/>
        </w:rPr>
        <w:t>Por lo anterior, la Entidad mantiene la Rentabilidad del Activo mayor o igual a 0,04 y la Rentabilidad del Patrimonio mayor o igual a 0,08 y, en consecuencia, no se accede a la observación.</w:t>
      </w:r>
    </w:p>
    <w:p w14:paraId="07042A72"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No. 3</w:t>
      </w:r>
    </w:p>
    <w:p w14:paraId="45DD1801"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CERTIFICACIONES COMERCIALES DEL FABRICANTE</w:t>
      </w:r>
    </w:p>
    <w:p w14:paraId="4DEEA7DE" w14:textId="77777777" w:rsidR="00BE6367" w:rsidRDefault="00C90F6A">
      <w:pPr>
        <w:jc w:val="both"/>
        <w:rPr>
          <w:rFonts w:ascii="Arial" w:eastAsia="Arial" w:hAnsi="Arial" w:cs="Arial"/>
          <w:sz w:val="20"/>
          <w:szCs w:val="20"/>
        </w:rPr>
      </w:pPr>
      <w:r>
        <w:rPr>
          <w:rFonts w:ascii="Arial" w:eastAsia="Arial" w:hAnsi="Arial" w:cs="Arial"/>
          <w:sz w:val="20"/>
          <w:szCs w:val="20"/>
        </w:rPr>
        <w:t>La Ficha Técnica de Negociación exige que el proponente acredite certificaciones o niveles específicos de distribución expedidos por los fabricantes de los equipos tecnológicos.</w:t>
      </w:r>
    </w:p>
    <w:p w14:paraId="57AAD0C1" w14:textId="77777777" w:rsidR="00BE6367" w:rsidRDefault="00C90F6A">
      <w:pPr>
        <w:jc w:val="both"/>
        <w:rPr>
          <w:rFonts w:ascii="Arial" w:eastAsia="Arial" w:hAnsi="Arial" w:cs="Arial"/>
          <w:sz w:val="20"/>
          <w:szCs w:val="20"/>
        </w:rPr>
      </w:pPr>
      <w:r>
        <w:rPr>
          <w:rFonts w:ascii="Arial" w:eastAsia="Arial" w:hAnsi="Arial" w:cs="Arial"/>
          <w:sz w:val="20"/>
          <w:szCs w:val="20"/>
        </w:rPr>
        <w:t>Si bien resulta razonable que la Entidad procure garantizar que los bienes sean originales, cuenten con garantía oficial y provengan de canales autorizados por el fabricante, la exigencia de un nivel específico dentro de los programas comerciales de distribución puede restringir la participación de empresas que cuentan con capacidad técnica y comercial suficiente para ejecutar el contrato.</w:t>
      </w:r>
    </w:p>
    <w:p w14:paraId="4F176589" w14:textId="77777777" w:rsidR="00BE6367" w:rsidRDefault="00C90F6A">
      <w:pPr>
        <w:jc w:val="both"/>
        <w:rPr>
          <w:rFonts w:ascii="Arial" w:eastAsia="Arial" w:hAnsi="Arial" w:cs="Arial"/>
          <w:sz w:val="20"/>
          <w:szCs w:val="20"/>
        </w:rPr>
      </w:pPr>
      <w:r>
        <w:rPr>
          <w:rFonts w:ascii="Arial" w:eastAsia="Arial" w:hAnsi="Arial" w:cs="Arial"/>
          <w:sz w:val="20"/>
          <w:szCs w:val="20"/>
        </w:rPr>
        <w:t>Debe tenerse presente que los programas de canales de los fabricantes no son uniformes. Algunos establecen categorías jerárquicas de distribución, otros acreditan competencias técnicas, mientras que algunos comercializan sus productos exclusivamente a través de mayoristas autorizados. En consecuencia, exigir una modalidad específica de acreditación puede generar un tratamiento desigual entre fabricantes y limitar la participación de oferentes que tienen acceso legítimo a la cadena de suministro y garantizan plenamente la originalidad, garantía y soporte de los bienes.</w:t>
      </w:r>
    </w:p>
    <w:p w14:paraId="4F9F2869" w14:textId="77777777" w:rsidR="00BE6367" w:rsidRDefault="00C90F6A">
      <w:pPr>
        <w:jc w:val="both"/>
        <w:rPr>
          <w:rFonts w:ascii="Arial" w:eastAsia="Arial" w:hAnsi="Arial" w:cs="Arial"/>
          <w:sz w:val="20"/>
          <w:szCs w:val="20"/>
        </w:rPr>
      </w:pPr>
      <w:r>
        <w:rPr>
          <w:rFonts w:ascii="Arial" w:eastAsia="Arial" w:hAnsi="Arial" w:cs="Arial"/>
          <w:sz w:val="20"/>
          <w:szCs w:val="20"/>
        </w:rPr>
        <w:t>En este contexto, el interés de la Entidad puede satisfacerse mediante mecanismos equivalentes que acrediten el respaldo oficial del fabricante, sin restringir la participación a una determinada categoría comercial cuya definición depende exclusivamente de políticas privadas ajenas al proceso de contratación.</w:t>
      </w:r>
    </w:p>
    <w:p w14:paraId="27DE36B6" w14:textId="77777777" w:rsidR="00BE6367" w:rsidRDefault="00000000">
      <w:pPr>
        <w:jc w:val="both"/>
        <w:rPr>
          <w:rFonts w:ascii="Arial" w:eastAsia="Arial" w:hAnsi="Arial" w:cs="Arial"/>
          <w:sz w:val="20"/>
          <w:szCs w:val="20"/>
        </w:rPr>
      </w:pPr>
      <w:r>
        <w:pict w14:anchorId="4B9D7A36">
          <v:rect id="_x0000_i1051" style="width:0;height:1.5pt" o:hralign="center" o:hrstd="t" o:hr="t" fillcolor="#a0a0a0" stroked="f"/>
        </w:pict>
      </w:r>
    </w:p>
    <w:p w14:paraId="12E5B38B"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Fundamentos jurídicos</w:t>
      </w:r>
    </w:p>
    <w:p w14:paraId="1125A3A8" w14:textId="77777777" w:rsidR="00BE6367" w:rsidRDefault="00C90F6A">
      <w:pPr>
        <w:numPr>
          <w:ilvl w:val="0"/>
          <w:numId w:val="43"/>
        </w:numPr>
        <w:spacing w:after="0" w:line="240" w:lineRule="auto"/>
        <w:jc w:val="both"/>
        <w:rPr>
          <w:rFonts w:ascii="Arial" w:eastAsia="Arial" w:hAnsi="Arial" w:cs="Arial"/>
        </w:rPr>
      </w:pPr>
      <w:r>
        <w:rPr>
          <w:rFonts w:ascii="Arial" w:eastAsia="Arial" w:hAnsi="Arial" w:cs="Arial"/>
          <w:sz w:val="20"/>
          <w:szCs w:val="20"/>
        </w:rPr>
        <w:lastRenderedPageBreak/>
        <w:t xml:space="preserve">Artículos 24 y 29 de la Ley 80 de 1993. </w:t>
      </w:r>
    </w:p>
    <w:p w14:paraId="6C04146F" w14:textId="77777777" w:rsidR="00BE6367" w:rsidRDefault="00C90F6A">
      <w:pPr>
        <w:numPr>
          <w:ilvl w:val="0"/>
          <w:numId w:val="43"/>
        </w:numPr>
        <w:spacing w:after="0" w:line="240" w:lineRule="auto"/>
        <w:jc w:val="both"/>
        <w:rPr>
          <w:rFonts w:ascii="Arial" w:eastAsia="Arial" w:hAnsi="Arial" w:cs="Arial"/>
        </w:rPr>
      </w:pPr>
      <w:r>
        <w:rPr>
          <w:rFonts w:ascii="Arial" w:eastAsia="Arial" w:hAnsi="Arial" w:cs="Arial"/>
          <w:sz w:val="20"/>
          <w:szCs w:val="20"/>
        </w:rPr>
        <w:t xml:space="preserve">Artículo 5 de la Ley 1150 de 2007. </w:t>
      </w:r>
    </w:p>
    <w:p w14:paraId="7390CD33" w14:textId="77777777" w:rsidR="00BE6367" w:rsidRDefault="00C90F6A">
      <w:pPr>
        <w:numPr>
          <w:ilvl w:val="0"/>
          <w:numId w:val="43"/>
        </w:numPr>
        <w:spacing w:after="0" w:line="240" w:lineRule="auto"/>
        <w:jc w:val="both"/>
        <w:rPr>
          <w:rFonts w:ascii="Arial" w:eastAsia="Arial" w:hAnsi="Arial" w:cs="Arial"/>
        </w:rPr>
      </w:pPr>
      <w:r>
        <w:rPr>
          <w:rFonts w:ascii="Arial" w:eastAsia="Arial" w:hAnsi="Arial" w:cs="Arial"/>
          <w:sz w:val="20"/>
          <w:szCs w:val="20"/>
        </w:rPr>
        <w:t xml:space="preserve">Decreto 1082 de 2015. </w:t>
      </w:r>
    </w:p>
    <w:p w14:paraId="151D0681" w14:textId="77777777" w:rsidR="00BE6367" w:rsidRDefault="00C90F6A">
      <w:pPr>
        <w:numPr>
          <w:ilvl w:val="0"/>
          <w:numId w:val="43"/>
        </w:numPr>
        <w:spacing w:after="0" w:line="240" w:lineRule="auto"/>
        <w:jc w:val="both"/>
        <w:rPr>
          <w:rFonts w:ascii="Arial" w:eastAsia="Arial" w:hAnsi="Arial" w:cs="Arial"/>
        </w:rPr>
      </w:pPr>
      <w:r>
        <w:rPr>
          <w:rFonts w:ascii="Arial" w:eastAsia="Arial" w:hAnsi="Arial" w:cs="Arial"/>
          <w:sz w:val="20"/>
          <w:szCs w:val="20"/>
        </w:rPr>
        <w:t xml:space="preserve">Principios de libre concurrencia, selección objetiva y proporcionalidad. </w:t>
      </w:r>
    </w:p>
    <w:p w14:paraId="158F48C6" w14:textId="77777777" w:rsidR="00BE6367" w:rsidRDefault="00C90F6A">
      <w:pPr>
        <w:numPr>
          <w:ilvl w:val="0"/>
          <w:numId w:val="43"/>
        </w:numPr>
        <w:spacing w:after="0" w:line="240" w:lineRule="auto"/>
        <w:jc w:val="both"/>
        <w:rPr>
          <w:rFonts w:ascii="Arial" w:eastAsia="Arial" w:hAnsi="Arial" w:cs="Arial"/>
        </w:rPr>
      </w:pPr>
      <w:r>
        <w:rPr>
          <w:rFonts w:ascii="Arial" w:eastAsia="Arial" w:hAnsi="Arial" w:cs="Arial"/>
          <w:sz w:val="20"/>
          <w:szCs w:val="20"/>
        </w:rPr>
        <w:t xml:space="preserve">Guía de Colombia Compra Eficiente para la estructuración de los requisitos habilitantes. </w:t>
      </w:r>
    </w:p>
    <w:p w14:paraId="34E79977" w14:textId="77777777" w:rsidR="00BE6367" w:rsidRDefault="00000000">
      <w:pPr>
        <w:jc w:val="both"/>
        <w:rPr>
          <w:rFonts w:ascii="Arial" w:eastAsia="Arial" w:hAnsi="Arial" w:cs="Arial"/>
          <w:sz w:val="20"/>
          <w:szCs w:val="20"/>
        </w:rPr>
      </w:pPr>
      <w:r>
        <w:pict w14:anchorId="736653B6">
          <v:rect id="_x0000_i1052" style="width:0;height:1.5pt" o:hralign="center" o:hrstd="t" o:hr="t" fillcolor="#a0a0a0" stroked="f"/>
        </w:pict>
      </w:r>
    </w:p>
    <w:p w14:paraId="33F73349"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Solicitamos</w:t>
      </w:r>
    </w:p>
    <w:p w14:paraId="2D77552E" w14:textId="77777777" w:rsidR="00BE6367" w:rsidRDefault="00C90F6A">
      <w:pPr>
        <w:jc w:val="both"/>
        <w:rPr>
          <w:rFonts w:ascii="Arial" w:eastAsia="Arial" w:hAnsi="Arial" w:cs="Arial"/>
          <w:sz w:val="20"/>
          <w:szCs w:val="20"/>
        </w:rPr>
      </w:pPr>
      <w:r>
        <w:rPr>
          <w:rFonts w:ascii="Arial" w:eastAsia="Arial" w:hAnsi="Arial" w:cs="Arial"/>
          <w:sz w:val="20"/>
          <w:szCs w:val="20"/>
        </w:rPr>
        <w:t>Revisar la exigencia de certificaciones comerciales o niveles específicos de distribución, permitiendo acreditar el respaldo oficial del fabricante mediante cualquier documento idóneo que garantice el origen legítimo de los bienes, la garantía oficial y el soporte autorizado durante la ejecución del contrato.</w:t>
      </w:r>
    </w:p>
    <w:p w14:paraId="560BA17F" w14:textId="77777777" w:rsidR="00BE6367" w:rsidRDefault="00000000">
      <w:pPr>
        <w:jc w:val="both"/>
        <w:rPr>
          <w:rFonts w:ascii="Arial" w:eastAsia="Arial" w:hAnsi="Arial" w:cs="Arial"/>
          <w:sz w:val="20"/>
          <w:szCs w:val="20"/>
        </w:rPr>
      </w:pPr>
      <w:r>
        <w:pict w14:anchorId="37A6751D">
          <v:rect id="_x0000_i1053" style="width:0;height:1.5pt" o:hralign="center" o:hrstd="t" o:hr="t" fillcolor="#a0a0a0" stroked="f"/>
        </w:pict>
      </w:r>
    </w:p>
    <w:p w14:paraId="173F7289"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Propuesta de ajuste</w:t>
      </w:r>
    </w:p>
    <w:p w14:paraId="7819ACBC" w14:textId="77777777" w:rsidR="00BE6367" w:rsidRDefault="00C90F6A">
      <w:pPr>
        <w:jc w:val="both"/>
        <w:rPr>
          <w:rFonts w:ascii="Arial" w:eastAsia="Arial" w:hAnsi="Arial" w:cs="Arial"/>
          <w:sz w:val="20"/>
          <w:szCs w:val="20"/>
        </w:rPr>
      </w:pPr>
      <w:r>
        <w:rPr>
          <w:rFonts w:ascii="Arial" w:eastAsia="Arial" w:hAnsi="Arial" w:cs="Arial"/>
          <w:sz w:val="20"/>
          <w:szCs w:val="20"/>
        </w:rPr>
        <w:t>El respaldo del fabricante podrá acreditarse mediante certificación expedida por el fabricante, un mayorista autorizado o cualquier otro documento idóneo que demuestre la autorización para comercializar los bienes, garantizar su originalidad, la garantía oficial y el soporte durante la ejecución del contrato, sin exigir un nivel específico dentro de los programas comerciales de distribución.</w:t>
      </w:r>
    </w:p>
    <w:p w14:paraId="0C04A6A1"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29792B8E" w14:textId="77777777" w:rsidR="00BE6367" w:rsidRDefault="00C90F6A">
      <w:pPr>
        <w:jc w:val="both"/>
        <w:rPr>
          <w:rFonts w:ascii="Arial" w:eastAsia="Arial" w:hAnsi="Arial" w:cs="Arial"/>
          <w:sz w:val="20"/>
          <w:szCs w:val="20"/>
        </w:rPr>
      </w:pPr>
      <w:r>
        <w:rPr>
          <w:rFonts w:ascii="Arial" w:eastAsia="Arial" w:hAnsi="Arial" w:cs="Arial"/>
          <w:sz w:val="20"/>
          <w:szCs w:val="20"/>
        </w:rPr>
        <w:t>No se acoge la observación. La exigencia de certificaciones comerciales o niveles específicos de distribución corresponde a los parámetros mínimos definidos por la Entidad para garantizar el respaldo oficial del fabricante, la legitimidad en el origen de los bienes y la validez de las garantías ofrecidas. Estos requisitos permiten asegurar que los equipos provengan de canales o distribuidores autorizados, evitando riesgos asociados a la adquisición mediante vías no oficiales o sin trazabilidad adecuada.</w:t>
      </w:r>
    </w:p>
    <w:p w14:paraId="2888C1DA" w14:textId="77777777" w:rsidR="00BE6367" w:rsidRDefault="00C90F6A">
      <w:pPr>
        <w:jc w:val="both"/>
        <w:rPr>
          <w:rFonts w:ascii="Arial" w:eastAsia="Arial" w:hAnsi="Arial" w:cs="Arial"/>
          <w:sz w:val="20"/>
          <w:szCs w:val="20"/>
        </w:rPr>
      </w:pPr>
      <w:r>
        <w:rPr>
          <w:rFonts w:ascii="Arial" w:eastAsia="Arial" w:hAnsi="Arial" w:cs="Arial"/>
          <w:sz w:val="20"/>
          <w:szCs w:val="20"/>
        </w:rPr>
        <w:t>La definición de niveles específicos dentro de los programas comerciales de distribución constituye un mecanismo de control que brinda certeza sobre la procedencia de los productos y la formalidad de los actores involucrados en el proceso de suministro. De esta manera, se preserva la transparencia, la seguridad jurídica y la confianza institucional en la ejecución contractual.</w:t>
      </w:r>
    </w:p>
    <w:p w14:paraId="218184D1" w14:textId="77777777" w:rsidR="00BE6367" w:rsidRDefault="00C90F6A">
      <w:pPr>
        <w:jc w:val="both"/>
        <w:rPr>
          <w:rFonts w:ascii="Arial" w:eastAsia="Arial" w:hAnsi="Arial" w:cs="Arial"/>
          <w:sz w:val="20"/>
          <w:szCs w:val="20"/>
        </w:rPr>
      </w:pPr>
      <w:r>
        <w:rPr>
          <w:rFonts w:ascii="Arial" w:eastAsia="Arial" w:hAnsi="Arial" w:cs="Arial"/>
          <w:sz w:val="20"/>
          <w:szCs w:val="20"/>
        </w:rPr>
        <w:t>En consecuencia, se mantiene la exigencia en los términos establecidos en la ficha técnica, dado que constituye un parámetro indispensable para garantizar la originalidad de los bienes y la adecuada gestión de las garantías, conforme a las necesidades de la Entidad.</w:t>
      </w:r>
    </w:p>
    <w:p w14:paraId="00D0F762" w14:textId="77777777" w:rsidR="00BE6367" w:rsidRDefault="00BE6367">
      <w:pPr>
        <w:jc w:val="both"/>
        <w:rPr>
          <w:rFonts w:ascii="Arial" w:eastAsia="Arial" w:hAnsi="Arial" w:cs="Arial"/>
          <w:sz w:val="20"/>
          <w:szCs w:val="20"/>
        </w:rPr>
      </w:pPr>
    </w:p>
    <w:p w14:paraId="6BAF1994" w14:textId="77777777" w:rsidR="00BE6367" w:rsidRDefault="00BE6367">
      <w:pPr>
        <w:jc w:val="both"/>
        <w:rPr>
          <w:rFonts w:ascii="Arial" w:eastAsia="Arial" w:hAnsi="Arial" w:cs="Arial"/>
          <w:sz w:val="20"/>
          <w:szCs w:val="20"/>
        </w:rPr>
      </w:pPr>
    </w:p>
    <w:p w14:paraId="37753EB3"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No. 4</w:t>
      </w:r>
    </w:p>
    <w:p w14:paraId="27F328AE"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PERSONAL MÍNIMO</w:t>
      </w:r>
    </w:p>
    <w:p w14:paraId="366C51E9" w14:textId="77777777" w:rsidR="00BE6367" w:rsidRDefault="00000000">
      <w:pPr>
        <w:jc w:val="both"/>
        <w:rPr>
          <w:rFonts w:ascii="Arial" w:eastAsia="Arial" w:hAnsi="Arial" w:cs="Arial"/>
          <w:sz w:val="20"/>
          <w:szCs w:val="20"/>
        </w:rPr>
      </w:pPr>
      <w:r>
        <w:pict w14:anchorId="07E7A717">
          <v:rect id="_x0000_i1054" style="width:0;height:1.5pt" o:hralign="center" o:hrstd="t" o:hr="t" fillcolor="#a0a0a0" stroked="f"/>
        </w:pict>
      </w:r>
    </w:p>
    <w:p w14:paraId="748F220C"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w:t>
      </w:r>
    </w:p>
    <w:p w14:paraId="321A0E5C"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La Ficha Técnica de Negociación exige que el proponente acredite desde la etapa de presentación de la oferta el personal mínimo requerido, junto con los soportes de formación académica, experiencia, certificaciones técnicas y porcentajes de dedicación.</w:t>
      </w:r>
    </w:p>
    <w:p w14:paraId="2CA5BDC2" w14:textId="77777777" w:rsidR="00BE6367" w:rsidRDefault="00C90F6A">
      <w:pPr>
        <w:jc w:val="both"/>
        <w:rPr>
          <w:rFonts w:ascii="Arial" w:eastAsia="Arial" w:hAnsi="Arial" w:cs="Arial"/>
          <w:sz w:val="20"/>
          <w:szCs w:val="20"/>
        </w:rPr>
      </w:pPr>
      <w:r>
        <w:rPr>
          <w:rFonts w:ascii="Arial" w:eastAsia="Arial" w:hAnsi="Arial" w:cs="Arial"/>
          <w:sz w:val="20"/>
          <w:szCs w:val="20"/>
        </w:rPr>
        <w:t>Si bien la Entidad está facultada para exigir que el contrato sea ejecutado por profesionales idóneos y debidamente certificados, la acreditación anticipada de dichos requisitos traslada a la etapa de selección obligaciones propias de la ejecución contractual.</w:t>
      </w:r>
    </w:p>
    <w:p w14:paraId="6D6D8940" w14:textId="77777777" w:rsidR="00BE6367" w:rsidRDefault="00C90F6A">
      <w:pPr>
        <w:jc w:val="both"/>
        <w:rPr>
          <w:rFonts w:ascii="Arial" w:eastAsia="Arial" w:hAnsi="Arial" w:cs="Arial"/>
          <w:sz w:val="20"/>
          <w:szCs w:val="20"/>
        </w:rPr>
      </w:pPr>
      <w:r>
        <w:rPr>
          <w:rFonts w:ascii="Arial" w:eastAsia="Arial" w:hAnsi="Arial" w:cs="Arial"/>
          <w:sz w:val="20"/>
          <w:szCs w:val="20"/>
        </w:rPr>
        <w:t>En proyectos de integración tecnológica es práctica común que el contratista conforme y formalice el equipo definitivo de trabajo una vez adjudicado el contrato, momento en el cual es posible garantizar la disponibilidad efectiva del personal durante toda la ejecución. Por ello, lo relevante para la Entidad no es el momento en que se presentan las hojas de vida o las certificaciones, sino que, antes del inicio de la ejecución, el contratista demuestre que el personal asignado cumple integralmente los perfiles exigidos.</w:t>
      </w:r>
    </w:p>
    <w:p w14:paraId="1E374AEC" w14:textId="77777777" w:rsidR="00BE6367" w:rsidRDefault="00C90F6A">
      <w:pPr>
        <w:jc w:val="both"/>
        <w:rPr>
          <w:rFonts w:ascii="Arial" w:eastAsia="Arial" w:hAnsi="Arial" w:cs="Arial"/>
          <w:sz w:val="20"/>
          <w:szCs w:val="20"/>
        </w:rPr>
      </w:pPr>
      <w:r>
        <w:rPr>
          <w:rFonts w:ascii="Arial" w:eastAsia="Arial" w:hAnsi="Arial" w:cs="Arial"/>
          <w:sz w:val="20"/>
          <w:szCs w:val="20"/>
        </w:rPr>
        <w:t>De igual forma, tratándose de certificaciones técnicas expedidas por fabricantes, resulta conveniente permitir la acreditación mediante certificaciones equivalentes, sucesoras o de nivel superior, teniendo en cuenta que los programas de certificación evolucionan permanentemente sin que ello implique una disminución de las competencias técnicas del profesional.</w:t>
      </w:r>
    </w:p>
    <w:p w14:paraId="4A41FE26" w14:textId="77777777" w:rsidR="00BE6367" w:rsidRDefault="00C90F6A">
      <w:pPr>
        <w:jc w:val="both"/>
        <w:rPr>
          <w:rFonts w:ascii="Arial" w:eastAsia="Arial" w:hAnsi="Arial" w:cs="Arial"/>
          <w:sz w:val="20"/>
          <w:szCs w:val="20"/>
        </w:rPr>
      </w:pPr>
      <w:r>
        <w:rPr>
          <w:rFonts w:ascii="Arial" w:eastAsia="Arial" w:hAnsi="Arial" w:cs="Arial"/>
          <w:sz w:val="20"/>
          <w:szCs w:val="20"/>
        </w:rPr>
        <w:t>En consecuencia, se considera que el interés de la Entidad puede salvaguardarse verificando estos requisitos respecto del adjudicatario, antes de la suscripción del Acta de Inicio, garantizando así la idoneidad del equipo de trabajo sin restringir innecesariamente la participación durante la etapa de selección.</w:t>
      </w:r>
    </w:p>
    <w:p w14:paraId="60BFDD68" w14:textId="77777777" w:rsidR="00BE6367" w:rsidRDefault="00000000">
      <w:pPr>
        <w:jc w:val="both"/>
        <w:rPr>
          <w:rFonts w:ascii="Arial" w:eastAsia="Arial" w:hAnsi="Arial" w:cs="Arial"/>
          <w:sz w:val="20"/>
          <w:szCs w:val="20"/>
        </w:rPr>
      </w:pPr>
      <w:r>
        <w:pict w14:anchorId="5D01D0C1">
          <v:rect id="_x0000_i1055" style="width:0;height:1.5pt" o:hralign="center" o:hrstd="t" o:hr="t" fillcolor="#a0a0a0" stroked="f"/>
        </w:pict>
      </w:r>
    </w:p>
    <w:p w14:paraId="3B9DC44F"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Fundamentos jurídicos</w:t>
      </w:r>
    </w:p>
    <w:p w14:paraId="2E80E943" w14:textId="77777777" w:rsidR="00BE6367" w:rsidRDefault="00C90F6A">
      <w:pPr>
        <w:numPr>
          <w:ilvl w:val="0"/>
          <w:numId w:val="44"/>
        </w:numPr>
        <w:spacing w:after="0" w:line="240" w:lineRule="auto"/>
        <w:jc w:val="both"/>
        <w:rPr>
          <w:rFonts w:ascii="Arial" w:eastAsia="Arial" w:hAnsi="Arial" w:cs="Arial"/>
        </w:rPr>
      </w:pPr>
      <w:r>
        <w:rPr>
          <w:rFonts w:ascii="Arial" w:eastAsia="Arial" w:hAnsi="Arial" w:cs="Arial"/>
          <w:sz w:val="20"/>
          <w:szCs w:val="20"/>
        </w:rPr>
        <w:t xml:space="preserve">Artículos 24 y 29 de la Ley 80 de 1993. </w:t>
      </w:r>
    </w:p>
    <w:p w14:paraId="22816BA9" w14:textId="77777777" w:rsidR="00BE6367" w:rsidRDefault="00C90F6A">
      <w:pPr>
        <w:numPr>
          <w:ilvl w:val="0"/>
          <w:numId w:val="44"/>
        </w:numPr>
        <w:spacing w:after="0" w:line="240" w:lineRule="auto"/>
        <w:jc w:val="both"/>
        <w:rPr>
          <w:rFonts w:ascii="Arial" w:eastAsia="Arial" w:hAnsi="Arial" w:cs="Arial"/>
        </w:rPr>
      </w:pPr>
      <w:r>
        <w:rPr>
          <w:rFonts w:ascii="Arial" w:eastAsia="Arial" w:hAnsi="Arial" w:cs="Arial"/>
          <w:sz w:val="20"/>
          <w:szCs w:val="20"/>
        </w:rPr>
        <w:t xml:space="preserve">Artículo 5 de la Ley 1150 de 2007. </w:t>
      </w:r>
    </w:p>
    <w:p w14:paraId="5A0BEE56" w14:textId="77777777" w:rsidR="00BE6367" w:rsidRDefault="00C90F6A">
      <w:pPr>
        <w:numPr>
          <w:ilvl w:val="0"/>
          <w:numId w:val="44"/>
        </w:numPr>
        <w:spacing w:after="0" w:line="240" w:lineRule="auto"/>
        <w:jc w:val="both"/>
        <w:rPr>
          <w:rFonts w:ascii="Arial" w:eastAsia="Arial" w:hAnsi="Arial" w:cs="Arial"/>
        </w:rPr>
      </w:pPr>
      <w:r>
        <w:rPr>
          <w:rFonts w:ascii="Arial" w:eastAsia="Arial" w:hAnsi="Arial" w:cs="Arial"/>
          <w:sz w:val="20"/>
          <w:szCs w:val="20"/>
        </w:rPr>
        <w:t xml:space="preserve">Decreto 1082 de 2015. </w:t>
      </w:r>
    </w:p>
    <w:p w14:paraId="16C33F13" w14:textId="77777777" w:rsidR="00BE6367" w:rsidRDefault="00C90F6A">
      <w:pPr>
        <w:numPr>
          <w:ilvl w:val="0"/>
          <w:numId w:val="44"/>
        </w:numPr>
        <w:spacing w:after="0" w:line="240" w:lineRule="auto"/>
        <w:jc w:val="both"/>
        <w:rPr>
          <w:rFonts w:ascii="Arial" w:eastAsia="Arial" w:hAnsi="Arial" w:cs="Arial"/>
        </w:rPr>
      </w:pPr>
      <w:r>
        <w:rPr>
          <w:rFonts w:ascii="Arial" w:eastAsia="Arial" w:hAnsi="Arial" w:cs="Arial"/>
          <w:sz w:val="20"/>
          <w:szCs w:val="20"/>
        </w:rPr>
        <w:t xml:space="preserve">Principios de proporcionalidad, libre concurrencia y selección objetiva. </w:t>
      </w:r>
    </w:p>
    <w:p w14:paraId="5B57699B" w14:textId="77777777" w:rsidR="00BE6367" w:rsidRDefault="00C90F6A">
      <w:pPr>
        <w:numPr>
          <w:ilvl w:val="0"/>
          <w:numId w:val="44"/>
        </w:numPr>
        <w:spacing w:after="0" w:line="240" w:lineRule="auto"/>
        <w:jc w:val="both"/>
        <w:rPr>
          <w:rFonts w:ascii="Arial" w:eastAsia="Arial" w:hAnsi="Arial" w:cs="Arial"/>
        </w:rPr>
      </w:pPr>
      <w:r>
        <w:rPr>
          <w:rFonts w:ascii="Arial" w:eastAsia="Arial" w:hAnsi="Arial" w:cs="Arial"/>
          <w:sz w:val="20"/>
          <w:szCs w:val="20"/>
        </w:rPr>
        <w:t xml:space="preserve">Guía de Colombia Compra Eficiente para la determinación y verificación de requisitos habilitantes. </w:t>
      </w:r>
    </w:p>
    <w:p w14:paraId="437B57DE" w14:textId="77777777" w:rsidR="00BE6367" w:rsidRDefault="00000000">
      <w:pPr>
        <w:jc w:val="both"/>
        <w:rPr>
          <w:rFonts w:ascii="Arial" w:eastAsia="Arial" w:hAnsi="Arial" w:cs="Arial"/>
          <w:sz w:val="20"/>
          <w:szCs w:val="20"/>
        </w:rPr>
      </w:pPr>
      <w:r>
        <w:pict w14:anchorId="29B26D2F">
          <v:rect id="_x0000_i1056" style="width:0;height:1.5pt" o:hralign="center" o:hrstd="t" o:hr="t" fillcolor="#a0a0a0" stroked="f"/>
        </w:pict>
      </w:r>
    </w:p>
    <w:p w14:paraId="6DE6C373"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Solicitamos</w:t>
      </w:r>
    </w:p>
    <w:p w14:paraId="48E510E2" w14:textId="77777777" w:rsidR="00BE6367" w:rsidRDefault="00BE6367">
      <w:pPr>
        <w:jc w:val="both"/>
        <w:rPr>
          <w:rFonts w:ascii="Arial" w:eastAsia="Arial" w:hAnsi="Arial" w:cs="Arial"/>
          <w:b/>
          <w:bCs/>
          <w:sz w:val="20"/>
          <w:szCs w:val="20"/>
        </w:rPr>
      </w:pPr>
    </w:p>
    <w:p w14:paraId="16C57C8E" w14:textId="77777777" w:rsidR="00BE6367" w:rsidRDefault="00C90F6A">
      <w:pPr>
        <w:jc w:val="both"/>
        <w:rPr>
          <w:rFonts w:ascii="Arial" w:eastAsia="Arial" w:hAnsi="Arial" w:cs="Arial"/>
          <w:sz w:val="20"/>
          <w:szCs w:val="20"/>
        </w:rPr>
      </w:pPr>
      <w:r>
        <w:rPr>
          <w:rFonts w:ascii="Arial" w:eastAsia="Arial" w:hAnsi="Arial" w:cs="Arial"/>
          <w:sz w:val="20"/>
          <w:szCs w:val="20"/>
        </w:rPr>
        <w:t>Revisar la oportunidad para acreditar el personal mínimo requerido, permitiendo que el adjudicatario presente, previamente a la suscripción del Acta de Inicio, las hojas de vida, soportes académicos, experiencia y certificaciones técnicas del equipo de trabajo. Así mismo, permitir la acreditación de certificaciones equivalentes, sucesoras o de nivel superior expedidas por el mismo fabricante.</w:t>
      </w:r>
    </w:p>
    <w:p w14:paraId="31480DE2" w14:textId="77777777" w:rsidR="00BE6367" w:rsidRDefault="00000000">
      <w:pPr>
        <w:jc w:val="both"/>
        <w:rPr>
          <w:rFonts w:ascii="Arial" w:eastAsia="Arial" w:hAnsi="Arial" w:cs="Arial"/>
          <w:sz w:val="20"/>
          <w:szCs w:val="20"/>
        </w:rPr>
      </w:pPr>
      <w:r>
        <w:pict w14:anchorId="3D135B39">
          <v:rect id="_x0000_i1057" style="width:0;height:1.5pt" o:hralign="center" o:hrstd="t" o:hr="t" fillcolor="#a0a0a0" stroked="f"/>
        </w:pict>
      </w:r>
    </w:p>
    <w:p w14:paraId="344956B7"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Propuesta de ajuste</w:t>
      </w:r>
    </w:p>
    <w:p w14:paraId="7C908C7C" w14:textId="77777777" w:rsidR="00BE6367" w:rsidRDefault="00BE6367">
      <w:pPr>
        <w:jc w:val="both"/>
        <w:rPr>
          <w:rFonts w:ascii="Arial" w:eastAsia="Arial" w:hAnsi="Arial" w:cs="Arial"/>
          <w:b/>
          <w:bCs/>
          <w:sz w:val="20"/>
          <w:szCs w:val="20"/>
        </w:rPr>
      </w:pPr>
    </w:p>
    <w:p w14:paraId="506A615D"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El adjudicatario deberá acreditar, previamente a la suscripción del Acta de Inicio, el cumplimiento de los perfiles profesionales, experiencia, certificaciones técnicas y dedicación del personal mínimo exigido. Cuando las certificaciones hayan sido sustituidas o actualizadas </w:t>
      </w:r>
      <w:r>
        <w:rPr>
          <w:rFonts w:ascii="Arial" w:eastAsia="Arial" w:hAnsi="Arial" w:cs="Arial"/>
          <w:sz w:val="20"/>
          <w:szCs w:val="20"/>
        </w:rPr>
        <w:lastRenderedPageBreak/>
        <w:t>por el fabricante, se aceptarán certificaciones equivalentes, sucesoras o de nivel superior que acrediten las mismas competencias.</w:t>
      </w:r>
    </w:p>
    <w:p w14:paraId="1C26116B"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7B76E72C" w14:textId="77777777" w:rsidR="00BE6367" w:rsidRDefault="00C90F6A">
      <w:pPr>
        <w:jc w:val="both"/>
        <w:rPr>
          <w:rFonts w:ascii="Arial" w:eastAsia="Arial" w:hAnsi="Arial" w:cs="Arial"/>
          <w:sz w:val="20"/>
          <w:szCs w:val="20"/>
        </w:rPr>
      </w:pPr>
      <w:r>
        <w:rPr>
          <w:rFonts w:ascii="Arial" w:eastAsia="Arial" w:hAnsi="Arial" w:cs="Arial"/>
          <w:sz w:val="20"/>
          <w:szCs w:val="20"/>
        </w:rPr>
        <w:t>No se acepta la observación.</w:t>
      </w:r>
    </w:p>
    <w:p w14:paraId="1B8F70C2"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Entidad se permite aclarar que la Ficha Técnica de Negociación no establece un requisito general de “personal mínimo” mediante el cual se exija, desde la etapa de presentación de documentos, la acreditación de hojas de vida, soportes de formación académica, experiencia profesional, certificaciones técnicas y porcentajes de dedicación para un equipo completo de trabajo.</w:t>
      </w:r>
    </w:p>
    <w:p w14:paraId="68E579FF"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Revisadas las condiciones técnicas de participación, no se evidencia la existencia de una tabla de personal mínimo, perfiles profesionales o porcentajes de dedicación en los términos señalados por el observante. En consecuencia, no resulta procedente trasladar al momento previo a la suscripción del acta de inicio un requisito general que no se encuentra incorporado en la Ficha Técnica de Negociación.</w:t>
      </w:r>
    </w:p>
    <w:p w14:paraId="46861C54"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 xml:space="preserve">No obstante, la Entidad sí estableció condiciones específicas relacionadas con el personal técnico certificado requerido para determinados componentes tecnológicos. </w:t>
      </w:r>
    </w:p>
    <w:p w14:paraId="21F9A38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particular, la FTN exige que el fabricante certifique que el comitente vendedor cuenta con personal técnico certificado para la instalación, configuración, integración y mantenimiento de los equipos correspondientes a la unidad central de conferencia, micrófonos, unidad de presidente y unidad de delegado.</w:t>
      </w:r>
    </w:p>
    <w:p w14:paraId="01041452"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Asimismo, para garantizar la experiencia técnica requerida en las soluciones de video profesional, se exige que el fabricante de la solución correspondiente a la cámara PTZ y a la solución de conmutación multicámara acredite a un profesional que haga parte de la empresa y que cuente con las competencias técnicas definidas en la FTN. Estas condiciones se encuentran directamente relacionadas con la integración, configuración y puesta en funcionamiento de los equipos que conforman la solución tecnológica.</w:t>
      </w:r>
    </w:p>
    <w:p w14:paraId="148C34D4"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acreditación de estas condiciones durante la etapa de verificación de los documentos de participación tiene como finalidad comprobar que el potencial comitente vendedor cuenta efectivamente con el respaldo técnico del fabricante y con personal capacitado para ejecutar las actividades especializadas asociadas a los equipos ofertados. Por lo tanto, no corresponde a una obligación ordinaria de ejecución contractual, sino a una condición técnica de participación destinada a mitigar los riesgos derivados de una instalación o integración realizada por personal que no cuente con las competencias requeridas.</w:t>
      </w:r>
    </w:p>
    <w:p w14:paraId="61D374D8"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sola manifestación de que el adjudicatario conformará posteriormente el equipo de trabajo no permite verificar, durante la etapa de participación, que el oferente dispone del conocimiento técnico, respaldo del fabricante y capacidad operativa necesarios para ejecutar adecuadamente los componentes especializados de la negociación.</w:t>
      </w:r>
    </w:p>
    <w:p w14:paraId="083660EB"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cuanto a la solicitud de aceptar certificaciones equivalentes, sucesoras o de nivel superior, se aclara que la FTN no exige de manera general una denominación comercial específica de certificación que haya sido sustituida por el fabricante. El requisito está orientado a que el fabricante acredite que el personal cuenta con las competencias necesarias para la instalación, configuración, integración, mantenimiento o diseño de las soluciones correspondientes.</w:t>
      </w:r>
    </w:p>
    <w:p w14:paraId="2930DC7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lastRenderedPageBreak/>
        <w:t>En caso de que un fabricante haya actualizado o sustituido formalmente su programa de certificaciones, el interesado podrá aportar la documentación emitida por el mismo fabricante que permita verificar de manera clara que la certificación presentada corresponde a la actualización, sucesión o nivel superior de la exigida y que acredita las mismas competencias técnicas requeridas. La equivalencia no podrá sustentarse únicamente en una declaración del comitente vendedor, sino que deberá encontrarse respaldada por documentación oficial del fabricante.</w:t>
      </w:r>
    </w:p>
    <w:p w14:paraId="52863A1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Así las cosas, se mantienen las condiciones específicas de acreditación del personal técnico establecidas en la Ficha Técnica de Negociación, y se aclara que en los documentos del proceso no se exige un equipo general de personal mínimo con hojas de vida y porcentajes de dedicación en los términos señalados en la observación.</w:t>
      </w:r>
    </w:p>
    <w:p w14:paraId="02703A90"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Por los anteriores motivos, no se accede a la solicitud de trasladar la acreditación de las condiciones técnicas del personal a la etapa previa al acta de inicio. No obstante, se aclara que podrán presentarse certificaciones actualizadas, sucesoras o de nivel superior cuando su equivalencia y las competencias acreditadas sean certificadas oficialmente por el mismo fabricante.</w:t>
      </w:r>
    </w:p>
    <w:p w14:paraId="2683597E"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No. 5</w:t>
      </w:r>
    </w:p>
    <w:p w14:paraId="180CEC94" w14:textId="77777777" w:rsidR="00BE6367" w:rsidRDefault="00C90F6A">
      <w:pPr>
        <w:jc w:val="both"/>
        <w:rPr>
          <w:rFonts w:ascii="Arial" w:eastAsia="Arial" w:hAnsi="Arial" w:cs="Arial"/>
          <w:sz w:val="20"/>
          <w:szCs w:val="20"/>
        </w:rPr>
      </w:pPr>
      <w:r>
        <w:rPr>
          <w:rFonts w:ascii="Arial" w:eastAsia="Arial" w:hAnsi="Arial" w:cs="Arial"/>
          <w:b/>
          <w:bCs/>
          <w:sz w:val="20"/>
          <w:szCs w:val="20"/>
        </w:rPr>
        <w:t>ESPECIFICACIONES FUNCIONALES Y EQUIVALENCIA TECNOLÓGICA</w:t>
      </w:r>
    </w:p>
    <w:p w14:paraId="42DC9DEA" w14:textId="77777777" w:rsidR="00BE6367" w:rsidRDefault="00000000">
      <w:pPr>
        <w:jc w:val="both"/>
        <w:rPr>
          <w:rFonts w:ascii="Arial" w:eastAsia="Arial" w:hAnsi="Arial" w:cs="Arial"/>
          <w:sz w:val="20"/>
          <w:szCs w:val="20"/>
        </w:rPr>
      </w:pPr>
      <w:r>
        <w:pict w14:anchorId="2A9F678F">
          <v:rect id="_x0000_i1058" style="width:0;height:1.5pt" o:hralign="center" o:hrstd="t" o:hr="t" fillcolor="#a0a0a0" stroked="f"/>
        </w:pict>
      </w:r>
    </w:p>
    <w:p w14:paraId="24A30409" w14:textId="77777777" w:rsidR="00BE6367" w:rsidRDefault="00C90F6A">
      <w:pPr>
        <w:jc w:val="both"/>
        <w:rPr>
          <w:rFonts w:ascii="Arial" w:eastAsia="Arial" w:hAnsi="Arial" w:cs="Arial"/>
          <w:sz w:val="20"/>
          <w:szCs w:val="20"/>
        </w:rPr>
      </w:pPr>
      <w:r>
        <w:rPr>
          <w:rFonts w:ascii="Arial" w:eastAsia="Arial" w:hAnsi="Arial" w:cs="Arial"/>
          <w:b/>
          <w:bCs/>
          <w:sz w:val="20"/>
          <w:szCs w:val="20"/>
        </w:rPr>
        <w:t>OBSERVACIÓN</w:t>
      </w:r>
    </w:p>
    <w:p w14:paraId="1CDE8192" w14:textId="77777777" w:rsidR="00BE6367" w:rsidRDefault="00C90F6A">
      <w:pPr>
        <w:jc w:val="both"/>
        <w:rPr>
          <w:rFonts w:ascii="Arial" w:eastAsia="Arial" w:hAnsi="Arial" w:cs="Arial"/>
          <w:sz w:val="20"/>
          <w:szCs w:val="20"/>
        </w:rPr>
      </w:pPr>
      <w:r>
        <w:rPr>
          <w:rFonts w:ascii="Arial" w:eastAsia="Arial" w:hAnsi="Arial" w:cs="Arial"/>
          <w:sz w:val="20"/>
          <w:szCs w:val="20"/>
        </w:rPr>
        <w:t>La Ficha Técnica de Producto incorpora un conjunto de funcionalidades relacionadas con la administración, gestión, despliegue y soporte de los equipos, estableciendo mecanismos específicos para su implementación.</w:t>
      </w:r>
    </w:p>
    <w:p w14:paraId="1F1D8FA3" w14:textId="77777777" w:rsidR="00BE6367" w:rsidRDefault="00C90F6A">
      <w:pPr>
        <w:jc w:val="both"/>
        <w:rPr>
          <w:rFonts w:ascii="Arial" w:eastAsia="Arial" w:hAnsi="Arial" w:cs="Arial"/>
          <w:sz w:val="20"/>
          <w:szCs w:val="20"/>
        </w:rPr>
      </w:pPr>
      <w:r>
        <w:rPr>
          <w:rFonts w:ascii="Arial" w:eastAsia="Arial" w:hAnsi="Arial" w:cs="Arial"/>
          <w:sz w:val="20"/>
          <w:szCs w:val="20"/>
        </w:rPr>
        <w:t>Si bien la Entidad está facultada para exigir funcionalidades que garanticen una adecuada administración del parque tecnológico, las necesidades institucionales deberían definirse en términos de resultados funcionales y no mediante mecanismos específicos de implementación, cuando existan soluciones técnicamente equivalentes disponibles en el mercado.</w:t>
      </w:r>
    </w:p>
    <w:p w14:paraId="4C1C32A3" w14:textId="77777777" w:rsidR="00BE6367" w:rsidRDefault="00C90F6A">
      <w:pPr>
        <w:jc w:val="both"/>
        <w:rPr>
          <w:rFonts w:ascii="Arial" w:eastAsia="Arial" w:hAnsi="Arial" w:cs="Arial"/>
          <w:sz w:val="20"/>
          <w:szCs w:val="20"/>
        </w:rPr>
      </w:pPr>
      <w:r>
        <w:rPr>
          <w:rFonts w:ascii="Arial" w:eastAsia="Arial" w:hAnsi="Arial" w:cs="Arial"/>
          <w:sz w:val="20"/>
          <w:szCs w:val="20"/>
        </w:rPr>
        <w:t>En el sector de tecnología, diferentes fabricantes implementan funcionalidades similares mediante herramientas, arquitecturas o metodologías distintas, todas ellas compatibles con ambientes empresariales y con estándares internacionales. Por ello, cuando la especificación describe la forma de implementación y no el resultado esperado, puede reducirse innecesariamente la pluralidad de oferentes sin que ello represente un beneficio adicional para la Entidad.</w:t>
      </w:r>
    </w:p>
    <w:p w14:paraId="70CF698F" w14:textId="77777777" w:rsidR="00BE6367" w:rsidRDefault="00C90F6A">
      <w:pPr>
        <w:jc w:val="both"/>
        <w:rPr>
          <w:rFonts w:ascii="Arial" w:eastAsia="Arial" w:hAnsi="Arial" w:cs="Arial"/>
          <w:sz w:val="20"/>
          <w:szCs w:val="20"/>
        </w:rPr>
      </w:pPr>
      <w:r>
        <w:rPr>
          <w:rFonts w:ascii="Arial" w:eastAsia="Arial" w:hAnsi="Arial" w:cs="Arial"/>
          <w:sz w:val="20"/>
          <w:szCs w:val="20"/>
        </w:rPr>
        <w:t>En consecuencia, se considera conveniente privilegiar especificaciones funcionales que permitan acreditar soluciones equivalentes, siempre que garanticen los niveles de administración, seguridad, interoperabilidad y soporte requeridos por la Procuraduría General de la Nación.</w:t>
      </w:r>
    </w:p>
    <w:p w14:paraId="601184B0" w14:textId="77777777" w:rsidR="00BE6367" w:rsidRDefault="00000000">
      <w:pPr>
        <w:jc w:val="both"/>
        <w:rPr>
          <w:rFonts w:ascii="Arial" w:eastAsia="Arial" w:hAnsi="Arial" w:cs="Arial"/>
          <w:sz w:val="20"/>
          <w:szCs w:val="20"/>
        </w:rPr>
      </w:pPr>
      <w:r>
        <w:pict w14:anchorId="4054A839">
          <v:rect id="_x0000_i1059" style="width:0;height:1.5pt" o:hralign="center" o:hrstd="t" o:hr="t" fillcolor="#a0a0a0" stroked="f"/>
        </w:pict>
      </w:r>
    </w:p>
    <w:p w14:paraId="1B1C49F4"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Fundamentos jurídicos</w:t>
      </w:r>
    </w:p>
    <w:p w14:paraId="274DCC57" w14:textId="77777777" w:rsidR="00BE6367" w:rsidRDefault="00C90F6A">
      <w:pPr>
        <w:numPr>
          <w:ilvl w:val="0"/>
          <w:numId w:val="46"/>
        </w:numPr>
        <w:spacing w:after="0" w:line="240" w:lineRule="auto"/>
        <w:jc w:val="both"/>
        <w:rPr>
          <w:rFonts w:ascii="Arial" w:eastAsia="Arial" w:hAnsi="Arial" w:cs="Arial"/>
        </w:rPr>
      </w:pPr>
      <w:r>
        <w:rPr>
          <w:rFonts w:ascii="Arial" w:eastAsia="Arial" w:hAnsi="Arial" w:cs="Arial"/>
          <w:sz w:val="20"/>
          <w:szCs w:val="20"/>
        </w:rPr>
        <w:t xml:space="preserve">Artículos 24 y 29 de la Ley 80 de 1993. </w:t>
      </w:r>
    </w:p>
    <w:p w14:paraId="6EA4F002" w14:textId="77777777" w:rsidR="00BE6367" w:rsidRDefault="00C90F6A">
      <w:pPr>
        <w:numPr>
          <w:ilvl w:val="0"/>
          <w:numId w:val="46"/>
        </w:numPr>
        <w:spacing w:after="0" w:line="240" w:lineRule="auto"/>
        <w:jc w:val="both"/>
        <w:rPr>
          <w:rFonts w:ascii="Arial" w:eastAsia="Arial" w:hAnsi="Arial" w:cs="Arial"/>
        </w:rPr>
      </w:pPr>
      <w:r>
        <w:rPr>
          <w:rFonts w:ascii="Arial" w:eastAsia="Arial" w:hAnsi="Arial" w:cs="Arial"/>
          <w:sz w:val="20"/>
          <w:szCs w:val="20"/>
        </w:rPr>
        <w:t xml:space="preserve">Artículo 5 de la Ley 1150 de 2007. </w:t>
      </w:r>
    </w:p>
    <w:p w14:paraId="489864BA" w14:textId="77777777" w:rsidR="00BE6367" w:rsidRDefault="00C90F6A">
      <w:pPr>
        <w:numPr>
          <w:ilvl w:val="0"/>
          <w:numId w:val="46"/>
        </w:numPr>
        <w:spacing w:after="0" w:line="240" w:lineRule="auto"/>
        <w:jc w:val="both"/>
        <w:rPr>
          <w:rFonts w:ascii="Arial" w:eastAsia="Arial" w:hAnsi="Arial" w:cs="Arial"/>
        </w:rPr>
      </w:pPr>
      <w:r>
        <w:rPr>
          <w:rFonts w:ascii="Arial" w:eastAsia="Arial" w:hAnsi="Arial" w:cs="Arial"/>
          <w:sz w:val="20"/>
          <w:szCs w:val="20"/>
        </w:rPr>
        <w:t xml:space="preserve">Decreto 1082 de 2015. </w:t>
      </w:r>
    </w:p>
    <w:p w14:paraId="195D11E8" w14:textId="77777777" w:rsidR="00BE6367" w:rsidRDefault="00C90F6A">
      <w:pPr>
        <w:numPr>
          <w:ilvl w:val="0"/>
          <w:numId w:val="46"/>
        </w:numPr>
        <w:spacing w:after="0" w:line="240" w:lineRule="auto"/>
        <w:jc w:val="both"/>
        <w:rPr>
          <w:rFonts w:ascii="Arial" w:eastAsia="Arial" w:hAnsi="Arial" w:cs="Arial"/>
        </w:rPr>
      </w:pPr>
      <w:r>
        <w:rPr>
          <w:rFonts w:ascii="Arial" w:eastAsia="Arial" w:hAnsi="Arial" w:cs="Arial"/>
          <w:sz w:val="20"/>
          <w:szCs w:val="20"/>
        </w:rPr>
        <w:lastRenderedPageBreak/>
        <w:t xml:space="preserve">Principios de selección objetiva, proporcionalidad y libre concurrencia. </w:t>
      </w:r>
    </w:p>
    <w:p w14:paraId="2284BF0F" w14:textId="77777777" w:rsidR="00BE6367" w:rsidRDefault="00000000">
      <w:pPr>
        <w:jc w:val="both"/>
        <w:rPr>
          <w:rFonts w:ascii="Arial" w:eastAsia="Arial" w:hAnsi="Arial" w:cs="Arial"/>
          <w:sz w:val="20"/>
          <w:szCs w:val="20"/>
        </w:rPr>
      </w:pPr>
      <w:r>
        <w:pict w14:anchorId="0AC6734B">
          <v:rect id="_x0000_i1060" style="width:0;height:1.5pt" o:hralign="center" o:hrstd="t" o:hr="t" fillcolor="#a0a0a0" stroked="f"/>
        </w:pict>
      </w:r>
    </w:p>
    <w:p w14:paraId="59A26AC1"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Solicitamos</w:t>
      </w:r>
    </w:p>
    <w:p w14:paraId="46E652D1" w14:textId="77777777" w:rsidR="00BE6367" w:rsidRDefault="00BE6367">
      <w:pPr>
        <w:jc w:val="both"/>
        <w:rPr>
          <w:rFonts w:ascii="Arial" w:eastAsia="Arial" w:hAnsi="Arial" w:cs="Arial"/>
          <w:b/>
          <w:bCs/>
          <w:sz w:val="20"/>
          <w:szCs w:val="20"/>
        </w:rPr>
      </w:pPr>
    </w:p>
    <w:p w14:paraId="0D03FA90" w14:textId="77777777" w:rsidR="00BE6367" w:rsidRDefault="00C90F6A">
      <w:pPr>
        <w:jc w:val="both"/>
        <w:rPr>
          <w:rFonts w:ascii="Arial" w:eastAsia="Arial" w:hAnsi="Arial" w:cs="Arial"/>
          <w:sz w:val="20"/>
          <w:szCs w:val="20"/>
        </w:rPr>
      </w:pPr>
      <w:r>
        <w:rPr>
          <w:rFonts w:ascii="Arial" w:eastAsia="Arial" w:hAnsi="Arial" w:cs="Arial"/>
          <w:sz w:val="20"/>
          <w:szCs w:val="20"/>
        </w:rPr>
        <w:t>Revisar las especificaciones técnicas relacionadas con la administración y gestión de los equipos, permitiendo que las funcionalidades requeridas puedan acreditarse mediante soluciones técnicamente equivalentes, sin restringir su cumplimiento a una arquitectura o mecanismo específico de implementación.</w:t>
      </w:r>
    </w:p>
    <w:p w14:paraId="6CB02999" w14:textId="77777777" w:rsidR="00BE6367" w:rsidRDefault="00000000">
      <w:pPr>
        <w:jc w:val="both"/>
        <w:rPr>
          <w:rFonts w:ascii="Arial" w:eastAsia="Arial" w:hAnsi="Arial" w:cs="Arial"/>
          <w:sz w:val="20"/>
          <w:szCs w:val="20"/>
        </w:rPr>
      </w:pPr>
      <w:r>
        <w:pict w14:anchorId="7A41BCE3">
          <v:rect id="_x0000_i1061" style="width:0;height:1.5pt" o:hralign="center" o:hrstd="t" o:hr="t" fillcolor="#a0a0a0" stroked="f"/>
        </w:pict>
      </w:r>
    </w:p>
    <w:p w14:paraId="3D38B0C4"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Propuesta de ajuste</w:t>
      </w:r>
    </w:p>
    <w:p w14:paraId="42E2357B" w14:textId="77777777" w:rsidR="00BE6367" w:rsidRDefault="00BE6367">
      <w:pPr>
        <w:jc w:val="both"/>
        <w:rPr>
          <w:rFonts w:ascii="Arial" w:eastAsia="Arial" w:hAnsi="Arial" w:cs="Arial"/>
          <w:b/>
          <w:bCs/>
          <w:sz w:val="20"/>
          <w:szCs w:val="20"/>
        </w:rPr>
      </w:pPr>
    </w:p>
    <w:p w14:paraId="7B2A8732" w14:textId="77777777" w:rsidR="00BE6367" w:rsidRDefault="00C90F6A">
      <w:pPr>
        <w:jc w:val="both"/>
        <w:rPr>
          <w:rFonts w:ascii="Arial" w:eastAsia="Arial" w:hAnsi="Arial" w:cs="Arial"/>
          <w:sz w:val="20"/>
          <w:szCs w:val="20"/>
        </w:rPr>
      </w:pPr>
      <w:r>
        <w:rPr>
          <w:rFonts w:ascii="Arial" w:eastAsia="Arial" w:hAnsi="Arial" w:cs="Arial"/>
          <w:sz w:val="20"/>
          <w:szCs w:val="20"/>
        </w:rPr>
        <w:t>Las funcionalidades de administración, despliegue, gestión, monitoreo, soporte e interoperabilidad podrán ser acreditadas mediante herramientas nativas del fabricante o soluciones técnicamente equivalentes que garanticen el cumplimiento de los requerimientos funcionales definidos por la Entidad.</w:t>
      </w:r>
    </w:p>
    <w:p w14:paraId="29918F5D" w14:textId="77777777" w:rsidR="00BE6367" w:rsidRDefault="00000000">
      <w:pPr>
        <w:jc w:val="both"/>
        <w:rPr>
          <w:rFonts w:ascii="Arial" w:eastAsia="Arial" w:hAnsi="Arial" w:cs="Arial"/>
          <w:sz w:val="20"/>
          <w:szCs w:val="20"/>
        </w:rPr>
      </w:pPr>
      <w:r>
        <w:pict w14:anchorId="46F85CF5">
          <v:rect id="_x0000_i1062" style="width:0;height:1.5pt" o:hralign="center" o:hrstd="t" o:hr="t" fillcolor="#a0a0a0" stroked="f"/>
        </w:pict>
      </w:r>
    </w:p>
    <w:p w14:paraId="5035A28C" w14:textId="77777777" w:rsidR="00BE6367" w:rsidRDefault="00C90F6A">
      <w:pPr>
        <w:pBdr>
          <w:top w:val="nil"/>
          <w:left w:val="nil"/>
          <w:bottom w:val="nil"/>
          <w:right w:val="nil"/>
          <w:between w:val="nil"/>
        </w:pBd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34A9C4CE" w14:textId="77777777" w:rsidR="00BE6367" w:rsidRDefault="00C90F6A">
      <w:p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No se acoge la observación presentada, toda vez que las especificaciones técnicas definidas en la Ficha de Producto responden a las necesidades particulares de la Entidad y fueron establecidas en ejercicio de la facultad legal de determinar los requisitos mínimos que garanticen la adecuada administración, gestión, despliegue y soporte del parque tecnológico institucional.</w:t>
      </w:r>
    </w:p>
    <w:p w14:paraId="6FEFD48C"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Si bien se reconoce la existencia de diferentes mecanismos de implementación en el mercado, la Entidad ha considerado indispensable fijar parámetros específicos de funcionalidad y arquitectura que aseguren la interoperabilidad, la seguridad y la continuidad operativa en el marco de sus procesos misionales. Dichos parámetros no restringen la libre concurrencia, sino que buscan garantizar la satisfacción plena de las condiciones técnicas requeridas, en armonía con los principios de planeación, responsabilidad y eficiencia de la contratación estatal.</w:t>
      </w:r>
    </w:p>
    <w:p w14:paraId="5EB9E429" w14:textId="77777777" w:rsidR="00BE6367" w:rsidRDefault="00C90F6A">
      <w:pPr>
        <w:spacing w:before="240" w:after="240"/>
        <w:jc w:val="both"/>
        <w:rPr>
          <w:rFonts w:ascii="Arial" w:eastAsia="Arial" w:hAnsi="Arial" w:cs="Arial"/>
          <w:b/>
          <w:bCs/>
          <w:sz w:val="20"/>
          <w:szCs w:val="20"/>
        </w:rPr>
      </w:pPr>
      <w:r>
        <w:rPr>
          <w:rFonts w:ascii="Arial" w:eastAsia="Arial" w:hAnsi="Arial" w:cs="Arial"/>
          <w:sz w:val="20"/>
          <w:szCs w:val="20"/>
        </w:rPr>
        <w:t>En consecuencia, se mantiene la exigencia de las funcionalidades descritas en la Ficha Técnica, en tanto constituyen condiciones esenciales para la adecuada ejecución del contrato y para el cumplimiento de los fines institucionales.</w:t>
      </w:r>
    </w:p>
    <w:p w14:paraId="1C72E8EA" w14:textId="77777777" w:rsidR="00BE6367" w:rsidRDefault="00BE6367">
      <w:pPr>
        <w:jc w:val="both"/>
        <w:rPr>
          <w:rFonts w:ascii="Arial" w:eastAsia="Arial" w:hAnsi="Arial" w:cs="Arial"/>
          <w:b/>
          <w:bCs/>
          <w:sz w:val="20"/>
          <w:szCs w:val="20"/>
        </w:rPr>
      </w:pPr>
    </w:p>
    <w:p w14:paraId="7F5E21AF"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No. 6</w:t>
      </w:r>
    </w:p>
    <w:p w14:paraId="593F3E1E" w14:textId="77777777" w:rsidR="00BE6367" w:rsidRDefault="00BE6367">
      <w:pPr>
        <w:jc w:val="both"/>
        <w:rPr>
          <w:rFonts w:ascii="Arial" w:eastAsia="Arial" w:hAnsi="Arial" w:cs="Arial"/>
          <w:b/>
          <w:bCs/>
          <w:sz w:val="20"/>
          <w:szCs w:val="20"/>
        </w:rPr>
      </w:pPr>
    </w:p>
    <w:p w14:paraId="6A3EF55D" w14:textId="77777777" w:rsidR="00BE6367" w:rsidRDefault="00C90F6A">
      <w:pPr>
        <w:jc w:val="both"/>
        <w:rPr>
          <w:rFonts w:ascii="Arial" w:eastAsia="Arial" w:hAnsi="Arial" w:cs="Arial"/>
          <w:sz w:val="20"/>
          <w:szCs w:val="20"/>
        </w:rPr>
      </w:pPr>
      <w:r>
        <w:rPr>
          <w:rFonts w:ascii="Arial" w:eastAsia="Arial" w:hAnsi="Arial" w:cs="Arial"/>
          <w:b/>
          <w:bCs/>
          <w:sz w:val="20"/>
          <w:szCs w:val="20"/>
        </w:rPr>
        <w:t>CERTIFICACIONES DE GESTIÓN DEL PROPONENTE</w:t>
      </w:r>
      <w:r w:rsidR="00000000">
        <w:pict w14:anchorId="4112ECA9">
          <v:rect id="_x0000_i1063" style="width:0;height:1.5pt" o:hralign="center" o:hrstd="t" o:hr="t" fillcolor="#a0a0a0" stroked="f"/>
        </w:pict>
      </w:r>
    </w:p>
    <w:p w14:paraId="0C57E347" w14:textId="77777777" w:rsidR="00BE6367" w:rsidRDefault="00C90F6A">
      <w:pPr>
        <w:jc w:val="both"/>
        <w:rPr>
          <w:rFonts w:ascii="Arial" w:eastAsia="Arial" w:hAnsi="Arial" w:cs="Arial"/>
          <w:sz w:val="20"/>
          <w:szCs w:val="20"/>
        </w:rPr>
      </w:pPr>
      <w:r>
        <w:rPr>
          <w:rFonts w:ascii="Arial" w:eastAsia="Arial" w:hAnsi="Arial" w:cs="Arial"/>
          <w:b/>
          <w:bCs/>
          <w:sz w:val="20"/>
          <w:szCs w:val="20"/>
        </w:rPr>
        <w:t>OBSERVACIÓN</w:t>
      </w:r>
    </w:p>
    <w:p w14:paraId="22B6E340"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La Ficha Técnica de Negociación exige que el proponente acredite diversas certificaciones de sistemas de gestión como requisito habilitante para participar en el proceso.</w:t>
      </w:r>
    </w:p>
    <w:p w14:paraId="5D38DA87" w14:textId="77777777" w:rsidR="00BE6367" w:rsidRDefault="00C90F6A">
      <w:pPr>
        <w:jc w:val="both"/>
        <w:rPr>
          <w:rFonts w:ascii="Arial" w:eastAsia="Arial" w:hAnsi="Arial" w:cs="Arial"/>
          <w:sz w:val="20"/>
          <w:szCs w:val="20"/>
        </w:rPr>
      </w:pPr>
      <w:r>
        <w:rPr>
          <w:rFonts w:ascii="Arial" w:eastAsia="Arial" w:hAnsi="Arial" w:cs="Arial"/>
          <w:sz w:val="20"/>
          <w:szCs w:val="20"/>
        </w:rPr>
        <w:t>Si bien estas certificaciones evidencian la implementación de buenas prácticas organizacionales y pueden constituir un valor agregado para la ejecución del contrato, su exigencia como requisito habilitante debe responder a criterios de necesidad, proporcionalidad y relación directa con el objeto contractual.</w:t>
      </w:r>
    </w:p>
    <w:p w14:paraId="6924436F" w14:textId="77777777" w:rsidR="00BE6367" w:rsidRDefault="00C90F6A">
      <w:pPr>
        <w:jc w:val="both"/>
        <w:rPr>
          <w:rFonts w:ascii="Arial" w:eastAsia="Arial" w:hAnsi="Arial" w:cs="Arial"/>
          <w:sz w:val="20"/>
          <w:szCs w:val="20"/>
        </w:rPr>
      </w:pPr>
      <w:r>
        <w:rPr>
          <w:rFonts w:ascii="Arial" w:eastAsia="Arial" w:hAnsi="Arial" w:cs="Arial"/>
          <w:sz w:val="20"/>
          <w:szCs w:val="20"/>
        </w:rPr>
        <w:t>La acumulación de varias certificaciones puede limitar la participación de empresas que cuentan con la experiencia, capacidad técnica y organizacional suficiente para ejecutar el contrato, pero que no han implementado la totalidad de los sistemas de gestión exigidos, especialmente cuando no se evidencia en los estudios del sector la justificación individual de cada una de ellas.</w:t>
      </w:r>
    </w:p>
    <w:p w14:paraId="2F3BE3B9" w14:textId="77777777" w:rsidR="00BE6367" w:rsidRDefault="00C90F6A">
      <w:pPr>
        <w:jc w:val="both"/>
        <w:rPr>
          <w:rFonts w:ascii="Arial" w:eastAsia="Arial" w:hAnsi="Arial" w:cs="Arial"/>
          <w:sz w:val="20"/>
          <w:szCs w:val="20"/>
        </w:rPr>
      </w:pPr>
      <w:r>
        <w:rPr>
          <w:rFonts w:ascii="Arial" w:eastAsia="Arial" w:hAnsi="Arial" w:cs="Arial"/>
          <w:sz w:val="20"/>
          <w:szCs w:val="20"/>
        </w:rPr>
        <w:t>En consecuencia, se considera que la Entidad debería verificar si todas las certificaciones exigidas resultan indispensables para garantizar la correcta ejecución del contrato o si dicho propósito puede alcanzarse mediante mecanismos menos restrictivos para la participación.</w:t>
      </w:r>
    </w:p>
    <w:p w14:paraId="279C075A" w14:textId="77777777" w:rsidR="00BE6367" w:rsidRDefault="00000000">
      <w:pPr>
        <w:jc w:val="both"/>
        <w:rPr>
          <w:rFonts w:ascii="Arial" w:eastAsia="Arial" w:hAnsi="Arial" w:cs="Arial"/>
          <w:sz w:val="20"/>
          <w:szCs w:val="20"/>
        </w:rPr>
      </w:pPr>
      <w:r>
        <w:pict w14:anchorId="0E0DD814">
          <v:rect id="_x0000_i1064" style="width:0;height:1.5pt" o:hralign="center" o:hrstd="t" o:hr="t" fillcolor="#a0a0a0" stroked="f"/>
        </w:pict>
      </w:r>
    </w:p>
    <w:p w14:paraId="27D2C4B0"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Fundamentos jurídicos</w:t>
      </w:r>
    </w:p>
    <w:p w14:paraId="5BD0683B" w14:textId="77777777" w:rsidR="00BE6367" w:rsidRDefault="00C90F6A">
      <w:pPr>
        <w:numPr>
          <w:ilvl w:val="0"/>
          <w:numId w:val="47"/>
        </w:numPr>
        <w:spacing w:after="0" w:line="240" w:lineRule="auto"/>
        <w:jc w:val="both"/>
        <w:rPr>
          <w:rFonts w:ascii="Arial" w:eastAsia="Arial" w:hAnsi="Arial" w:cs="Arial"/>
        </w:rPr>
      </w:pPr>
      <w:r>
        <w:rPr>
          <w:rFonts w:ascii="Arial" w:eastAsia="Arial" w:hAnsi="Arial" w:cs="Arial"/>
          <w:sz w:val="20"/>
          <w:szCs w:val="20"/>
        </w:rPr>
        <w:t xml:space="preserve">Artículos 24 y 29 de la Ley 80 de 1993. </w:t>
      </w:r>
    </w:p>
    <w:p w14:paraId="653B8688" w14:textId="77777777" w:rsidR="00BE6367" w:rsidRDefault="00C90F6A">
      <w:pPr>
        <w:numPr>
          <w:ilvl w:val="0"/>
          <w:numId w:val="47"/>
        </w:numPr>
        <w:spacing w:after="0" w:line="240" w:lineRule="auto"/>
        <w:jc w:val="both"/>
        <w:rPr>
          <w:rFonts w:ascii="Arial" w:eastAsia="Arial" w:hAnsi="Arial" w:cs="Arial"/>
        </w:rPr>
      </w:pPr>
      <w:r>
        <w:rPr>
          <w:rFonts w:ascii="Arial" w:eastAsia="Arial" w:hAnsi="Arial" w:cs="Arial"/>
          <w:sz w:val="20"/>
          <w:szCs w:val="20"/>
        </w:rPr>
        <w:t xml:space="preserve">Artículo 5 de la Ley 1150 de 2007. </w:t>
      </w:r>
    </w:p>
    <w:p w14:paraId="37A50D36" w14:textId="77777777" w:rsidR="00BE6367" w:rsidRDefault="00C90F6A">
      <w:pPr>
        <w:numPr>
          <w:ilvl w:val="0"/>
          <w:numId w:val="47"/>
        </w:numPr>
        <w:spacing w:after="0" w:line="240" w:lineRule="auto"/>
        <w:jc w:val="both"/>
        <w:rPr>
          <w:rFonts w:ascii="Arial" w:eastAsia="Arial" w:hAnsi="Arial" w:cs="Arial"/>
        </w:rPr>
      </w:pPr>
      <w:r>
        <w:rPr>
          <w:rFonts w:ascii="Arial" w:eastAsia="Arial" w:hAnsi="Arial" w:cs="Arial"/>
          <w:sz w:val="20"/>
          <w:szCs w:val="20"/>
        </w:rPr>
        <w:t xml:space="preserve">Artículo 2.2.1.1.1.5.1 del Decreto 1082 de 2015. </w:t>
      </w:r>
    </w:p>
    <w:p w14:paraId="51F8A97B" w14:textId="77777777" w:rsidR="00BE6367" w:rsidRDefault="00C90F6A">
      <w:pPr>
        <w:numPr>
          <w:ilvl w:val="0"/>
          <w:numId w:val="47"/>
        </w:numPr>
        <w:spacing w:after="0" w:line="240" w:lineRule="auto"/>
        <w:jc w:val="both"/>
        <w:rPr>
          <w:rFonts w:ascii="Arial" w:eastAsia="Arial" w:hAnsi="Arial" w:cs="Arial"/>
        </w:rPr>
      </w:pPr>
      <w:r>
        <w:rPr>
          <w:rFonts w:ascii="Arial" w:eastAsia="Arial" w:hAnsi="Arial" w:cs="Arial"/>
          <w:sz w:val="20"/>
          <w:szCs w:val="20"/>
        </w:rPr>
        <w:t xml:space="preserve">Principios de proporcionalidad, libre concurrencia y selección objetiva. </w:t>
      </w:r>
    </w:p>
    <w:p w14:paraId="4B8ABDDB" w14:textId="77777777" w:rsidR="00BE6367" w:rsidRDefault="00000000">
      <w:pPr>
        <w:jc w:val="both"/>
        <w:rPr>
          <w:rFonts w:ascii="Arial" w:eastAsia="Arial" w:hAnsi="Arial" w:cs="Arial"/>
          <w:sz w:val="20"/>
          <w:szCs w:val="20"/>
        </w:rPr>
      </w:pPr>
      <w:r>
        <w:pict w14:anchorId="44273216">
          <v:rect id="_x0000_i1065" style="width:0;height:1.5pt" o:hralign="center" o:hrstd="t" o:hr="t" fillcolor="#a0a0a0" stroked="f"/>
        </w:pict>
      </w:r>
    </w:p>
    <w:p w14:paraId="24A26329"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Solicitamos</w:t>
      </w:r>
    </w:p>
    <w:p w14:paraId="04C2E541" w14:textId="77777777" w:rsidR="00BE6367" w:rsidRDefault="00C90F6A">
      <w:pPr>
        <w:jc w:val="both"/>
        <w:rPr>
          <w:rFonts w:ascii="Arial" w:eastAsia="Arial" w:hAnsi="Arial" w:cs="Arial"/>
          <w:sz w:val="20"/>
          <w:szCs w:val="20"/>
        </w:rPr>
      </w:pPr>
      <w:r>
        <w:rPr>
          <w:rFonts w:ascii="Arial" w:eastAsia="Arial" w:hAnsi="Arial" w:cs="Arial"/>
          <w:sz w:val="20"/>
          <w:szCs w:val="20"/>
        </w:rPr>
        <w:t>Revisar la necesidad de exigir la totalidad de las certificaciones de sistemas de gestión previstas en la FTN o, en su defecto, publicar el soporte técnico contenido en los estudios del sector que justifique la relación de cada una de ellas con el objeto contractual y con los riesgos cuya mitigación se pretende garantizar.</w:t>
      </w:r>
    </w:p>
    <w:p w14:paraId="43E19B6C" w14:textId="77777777" w:rsidR="00BE6367" w:rsidRDefault="00000000">
      <w:pPr>
        <w:jc w:val="both"/>
        <w:rPr>
          <w:rFonts w:ascii="Arial" w:eastAsia="Arial" w:hAnsi="Arial" w:cs="Arial"/>
          <w:sz w:val="20"/>
          <w:szCs w:val="20"/>
        </w:rPr>
      </w:pPr>
      <w:r>
        <w:pict w14:anchorId="2EB94006">
          <v:rect id="_x0000_i1066" style="width:0;height:1.5pt" o:hralign="center" o:hrstd="t" o:hr="t" fillcolor="#a0a0a0" stroked="f"/>
        </w:pict>
      </w:r>
    </w:p>
    <w:p w14:paraId="4114498A"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Propuesta de ajuste</w:t>
      </w:r>
    </w:p>
    <w:p w14:paraId="4255FBAA" w14:textId="77777777" w:rsidR="00BE6367" w:rsidRDefault="00C90F6A">
      <w:pPr>
        <w:jc w:val="both"/>
        <w:rPr>
          <w:rFonts w:ascii="Arial" w:eastAsia="Arial" w:hAnsi="Arial" w:cs="Arial"/>
          <w:sz w:val="20"/>
          <w:szCs w:val="20"/>
        </w:rPr>
      </w:pPr>
      <w:r>
        <w:rPr>
          <w:rFonts w:ascii="Arial" w:eastAsia="Arial" w:hAnsi="Arial" w:cs="Arial"/>
          <w:sz w:val="20"/>
          <w:szCs w:val="20"/>
        </w:rPr>
        <w:t>Mantener únicamente aquellas certificaciones de sistemas de gestión cuya necesidad se encuentre debidamente sustentada en el análisis del sector y guarde relación directa con el objeto y los riesgos del contrato, permitiendo acreditar mecanismos equivalentes cuando ello resulte procedente.</w:t>
      </w:r>
    </w:p>
    <w:p w14:paraId="77A47C00" w14:textId="77777777" w:rsidR="00BE6367" w:rsidRDefault="00000000">
      <w:pPr>
        <w:jc w:val="both"/>
        <w:rPr>
          <w:rFonts w:ascii="Arial" w:eastAsia="Arial" w:hAnsi="Arial" w:cs="Arial"/>
          <w:sz w:val="20"/>
          <w:szCs w:val="20"/>
        </w:rPr>
      </w:pPr>
      <w:r>
        <w:pict w14:anchorId="13D9EB57">
          <v:rect id="_x0000_i1067" style="width:0;height:1.5pt" o:hralign="center" o:hrstd="t" o:hr="t" fillcolor="#a0a0a0" stroked="f"/>
        </w:pict>
      </w:r>
    </w:p>
    <w:p w14:paraId="7C3604A2"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3F5CA5C6" w14:textId="77777777" w:rsidR="00BE6367" w:rsidRDefault="00C90F6A">
      <w:pPr>
        <w:jc w:val="both"/>
        <w:rPr>
          <w:rFonts w:ascii="Arial" w:eastAsia="Arial" w:hAnsi="Arial" w:cs="Arial"/>
          <w:sz w:val="20"/>
          <w:szCs w:val="20"/>
        </w:rPr>
      </w:pPr>
      <w:r>
        <w:rPr>
          <w:rFonts w:ascii="Arial" w:eastAsia="Arial" w:hAnsi="Arial" w:cs="Arial"/>
          <w:sz w:val="20"/>
          <w:szCs w:val="20"/>
        </w:rPr>
        <w:t>No se acepta la observación.</w:t>
      </w:r>
    </w:p>
    <w:p w14:paraId="60507E8F"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Entidad se permite aclarar que, revisadas tanto la Ficha Técnica de Negociación como la Ficha Técnica de Producto, no se exige al comitente vendedor la acreditación de certificaciones de sistemas de gestión empresarial como requisito habilitante para participar en el proceso.</w:t>
      </w:r>
    </w:p>
    <w:p w14:paraId="0B1427CB"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 xml:space="preserve">En particular, los documentos del proceso no establecen la obligación de presentar certificaciones de gestión de calidad, gestión ambiental, seguridad y salud en el trabajo, </w:t>
      </w:r>
      <w:r>
        <w:rPr>
          <w:rFonts w:ascii="Arial" w:eastAsia="Arial" w:hAnsi="Arial" w:cs="Arial"/>
          <w:sz w:val="20"/>
          <w:szCs w:val="20"/>
        </w:rPr>
        <w:lastRenderedPageBreak/>
        <w:t>seguridad de la información u otras de naturaleza similar, tales como ISO 9001, ISO 14001, ISO 45001 o ISO 27001.</w:t>
      </w:r>
    </w:p>
    <w:p w14:paraId="1F47432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Ficha Técnica de Producto sí contempla certificaciones y estándares técnicos aplicables a determinados bienes y soluciones, tales como EPEAT, Energy Star, RoHS, 80 Plus Platinum o Titanium, Google EDLA y demás certificaciones relacionadas con la eficiencia energética, sostenibilidad, seguridad, desempeño, compatibilidad o calidad de los productos ofertados.</w:t>
      </w:r>
    </w:p>
    <w:p w14:paraId="0BE90A8A"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Estas certificaciones no corresponden a sistemas de gestión del proponente. Su finalidad es verificar que los bienes ofrecidos cumplen con las características técnicas, ambientales, energéticas y funcionales definidas por la Entidad.</w:t>
      </w:r>
    </w:p>
    <w:p w14:paraId="064606E9"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De igual manera, la Ficha Técnica de Negociación contempla certificaciones expedidas por fabricantes, certificaciones de distribución, respaldo de garantía y acreditaciones relacionadas con personal técnico certificado. Estas condiciones buscan garantizar la autenticidad de los equipos, la trazabilidad de la cadena de distribución, la validez de las garantías y la capacidad técnica para instalar, configurar, integrar y soportar las soluciones adquiridas.</w:t>
      </w:r>
    </w:p>
    <w:p w14:paraId="4783C3A7"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Por lo tanto, la observación parte de una premisa que no se encuentra incorporada en los documentos del proceso, al confundir las certificaciones técnicas y de producto con certificaciones de sistemas de gestión empresarial del proponente.</w:t>
      </w:r>
    </w:p>
    <w:p w14:paraId="24F5C18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no resulta procedente eliminar, reducir o sustituir certificaciones de sistemas de gestión que no han sido exigidas en la FTN ni en la FTP.</w:t>
      </w:r>
    </w:p>
    <w:p w14:paraId="030EF693"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Por los anteriores motivos, no se accede a la observación y se aclara que las certificaciones previstas en la Ficha Técnica de Producto corresponden a los bienes, soluciones o fabricantes ofertados, y no a sistemas</w:t>
      </w:r>
    </w:p>
    <w:p w14:paraId="7016094A" w14:textId="77777777" w:rsidR="00BE6367" w:rsidRDefault="00BE6367">
      <w:pPr>
        <w:jc w:val="both"/>
        <w:rPr>
          <w:rFonts w:ascii="Arial" w:eastAsia="Arial" w:hAnsi="Arial" w:cs="Arial"/>
          <w:sz w:val="20"/>
          <w:szCs w:val="20"/>
        </w:rPr>
      </w:pPr>
    </w:p>
    <w:p w14:paraId="186F5C51"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No. 7</w:t>
      </w:r>
    </w:p>
    <w:p w14:paraId="0335405C" w14:textId="77777777" w:rsidR="00BE6367" w:rsidRDefault="00BE6367">
      <w:pPr>
        <w:jc w:val="both"/>
        <w:rPr>
          <w:rFonts w:ascii="Arial" w:eastAsia="Arial" w:hAnsi="Arial" w:cs="Arial"/>
          <w:b/>
          <w:bCs/>
          <w:sz w:val="20"/>
          <w:szCs w:val="20"/>
        </w:rPr>
      </w:pPr>
    </w:p>
    <w:p w14:paraId="2CF2ADFD"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JUSTIFICACIÓN DE LOS REQUISITOS TÉCNICOS DIFERENCIADORES</w:t>
      </w:r>
    </w:p>
    <w:p w14:paraId="75098EF6" w14:textId="77777777" w:rsidR="00BE6367" w:rsidRDefault="00000000">
      <w:pPr>
        <w:jc w:val="both"/>
        <w:rPr>
          <w:rFonts w:ascii="Arial" w:eastAsia="Arial" w:hAnsi="Arial" w:cs="Arial"/>
          <w:sz w:val="20"/>
          <w:szCs w:val="20"/>
        </w:rPr>
      </w:pPr>
      <w:r>
        <w:pict w14:anchorId="2A26352F">
          <v:rect id="_x0000_i1068" style="width:0;height:1.5pt" o:hralign="center" o:hrstd="t" o:hr="t" fillcolor="#a0a0a0" stroked="f"/>
        </w:pict>
      </w:r>
    </w:p>
    <w:p w14:paraId="0ABE7239"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w:t>
      </w:r>
    </w:p>
    <w:p w14:paraId="4730BC1D" w14:textId="77777777" w:rsidR="00BE6367" w:rsidRDefault="00C90F6A">
      <w:pPr>
        <w:jc w:val="both"/>
        <w:rPr>
          <w:rFonts w:ascii="Arial" w:eastAsia="Arial" w:hAnsi="Arial" w:cs="Arial"/>
          <w:sz w:val="20"/>
          <w:szCs w:val="20"/>
        </w:rPr>
      </w:pPr>
      <w:r>
        <w:rPr>
          <w:rFonts w:ascii="Arial" w:eastAsia="Arial" w:hAnsi="Arial" w:cs="Arial"/>
          <w:sz w:val="20"/>
          <w:szCs w:val="20"/>
        </w:rPr>
        <w:t>Del análisis integral de la Ficha Técnica de Producto se observa que varias especificaciones técnicas, consideradas individualmente, pueden resultar razonables y responder a necesidades propias de la Entidad. Sin embargo, la concurrencia de múltiples requisitos altamente específicos no permite identificar en los documentos publicados la justificación técnica que explique por qué cada uno de ellos resulta indispensable para satisfacer la necesidad institucional.</w:t>
      </w:r>
    </w:p>
    <w:p w14:paraId="33AD8259" w14:textId="77777777" w:rsidR="00BE6367" w:rsidRDefault="00C90F6A">
      <w:pPr>
        <w:jc w:val="both"/>
        <w:rPr>
          <w:rFonts w:ascii="Arial" w:eastAsia="Arial" w:hAnsi="Arial" w:cs="Arial"/>
          <w:sz w:val="20"/>
          <w:szCs w:val="20"/>
        </w:rPr>
      </w:pPr>
      <w:r>
        <w:rPr>
          <w:rFonts w:ascii="Arial" w:eastAsia="Arial" w:hAnsi="Arial" w:cs="Arial"/>
          <w:sz w:val="20"/>
          <w:szCs w:val="20"/>
        </w:rPr>
        <w:t>Las especificaciones técnicas constituyen el mecanismo mediante el cual la Entidad define el nivel de desempeño esperado de los bienes a adquirir. No obstante, cuando incorporan requisitos diferenciadores que exceden las características normalmente exigidas en procesos similares, resulta necesario que los estudios del sector expliquen la necesidad de cada uno de ellos y el análisis de las alternativas existentes en el mercado.</w:t>
      </w:r>
    </w:p>
    <w:p w14:paraId="226E53B2"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Esta motivación permite verificar que las especificaciones responden a criterios objetivos de necesidad, proporcionalidad y eficiencia, favoreciendo la pluralidad de oferentes sin afectar el nivel técnico requerido por la Entidad.</w:t>
      </w:r>
    </w:p>
    <w:p w14:paraId="7D8D9273" w14:textId="77777777" w:rsidR="00BE6367" w:rsidRDefault="00000000">
      <w:pPr>
        <w:jc w:val="both"/>
        <w:rPr>
          <w:rFonts w:ascii="Arial" w:eastAsia="Arial" w:hAnsi="Arial" w:cs="Arial"/>
          <w:sz w:val="20"/>
          <w:szCs w:val="20"/>
        </w:rPr>
      </w:pPr>
      <w:r>
        <w:pict w14:anchorId="16D317FB">
          <v:rect id="_x0000_i1069" style="width:0;height:1.5pt" o:hralign="center" o:hrstd="t" o:hr="t" fillcolor="#a0a0a0" stroked="f"/>
        </w:pict>
      </w:r>
    </w:p>
    <w:p w14:paraId="3B384E39"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Fundamentos jurídicos</w:t>
      </w:r>
    </w:p>
    <w:p w14:paraId="7A1DB1B4" w14:textId="77777777" w:rsidR="00BE6367" w:rsidRDefault="00C90F6A">
      <w:pPr>
        <w:numPr>
          <w:ilvl w:val="0"/>
          <w:numId w:val="48"/>
        </w:numPr>
        <w:spacing w:after="0" w:line="240" w:lineRule="auto"/>
        <w:jc w:val="both"/>
        <w:rPr>
          <w:rFonts w:ascii="Arial" w:eastAsia="Arial" w:hAnsi="Arial" w:cs="Arial"/>
        </w:rPr>
      </w:pPr>
      <w:r>
        <w:rPr>
          <w:rFonts w:ascii="Arial" w:eastAsia="Arial" w:hAnsi="Arial" w:cs="Arial"/>
          <w:sz w:val="20"/>
          <w:szCs w:val="20"/>
        </w:rPr>
        <w:t xml:space="preserve">Artículos 24 y 25 de la Ley 80 de 1993. </w:t>
      </w:r>
    </w:p>
    <w:p w14:paraId="60372DCA" w14:textId="77777777" w:rsidR="00BE6367" w:rsidRDefault="00C90F6A">
      <w:pPr>
        <w:numPr>
          <w:ilvl w:val="0"/>
          <w:numId w:val="48"/>
        </w:numPr>
        <w:spacing w:after="0" w:line="240" w:lineRule="auto"/>
        <w:jc w:val="both"/>
        <w:rPr>
          <w:rFonts w:ascii="Arial" w:eastAsia="Arial" w:hAnsi="Arial" w:cs="Arial"/>
        </w:rPr>
      </w:pPr>
      <w:r>
        <w:rPr>
          <w:rFonts w:ascii="Arial" w:eastAsia="Arial" w:hAnsi="Arial" w:cs="Arial"/>
          <w:sz w:val="20"/>
          <w:szCs w:val="20"/>
        </w:rPr>
        <w:t xml:space="preserve">Artículo 5 de la Ley 1150 de 2007. </w:t>
      </w:r>
    </w:p>
    <w:p w14:paraId="3FE491B3" w14:textId="77777777" w:rsidR="00BE6367" w:rsidRDefault="00C90F6A">
      <w:pPr>
        <w:numPr>
          <w:ilvl w:val="0"/>
          <w:numId w:val="48"/>
        </w:numPr>
        <w:spacing w:after="0" w:line="240" w:lineRule="auto"/>
        <w:jc w:val="both"/>
        <w:rPr>
          <w:rFonts w:ascii="Arial" w:eastAsia="Arial" w:hAnsi="Arial" w:cs="Arial"/>
        </w:rPr>
      </w:pPr>
      <w:r>
        <w:rPr>
          <w:rFonts w:ascii="Arial" w:eastAsia="Arial" w:hAnsi="Arial" w:cs="Arial"/>
          <w:sz w:val="20"/>
          <w:szCs w:val="20"/>
        </w:rPr>
        <w:t xml:space="preserve">Decreto 1082 de 2015. </w:t>
      </w:r>
    </w:p>
    <w:p w14:paraId="3EB64869" w14:textId="77777777" w:rsidR="00BE6367" w:rsidRDefault="00C90F6A">
      <w:pPr>
        <w:numPr>
          <w:ilvl w:val="0"/>
          <w:numId w:val="48"/>
        </w:numPr>
        <w:spacing w:after="0" w:line="240" w:lineRule="auto"/>
        <w:jc w:val="both"/>
        <w:rPr>
          <w:rFonts w:ascii="Arial" w:eastAsia="Arial" w:hAnsi="Arial" w:cs="Arial"/>
        </w:rPr>
      </w:pPr>
      <w:r>
        <w:rPr>
          <w:rFonts w:ascii="Arial" w:eastAsia="Arial" w:hAnsi="Arial" w:cs="Arial"/>
          <w:sz w:val="20"/>
          <w:szCs w:val="20"/>
        </w:rPr>
        <w:t xml:space="preserve">Principios de planeación, selección objetiva y proporcionalidad. </w:t>
      </w:r>
    </w:p>
    <w:p w14:paraId="7204A973" w14:textId="77777777" w:rsidR="00BE6367" w:rsidRDefault="00000000">
      <w:pPr>
        <w:jc w:val="both"/>
        <w:rPr>
          <w:rFonts w:ascii="Arial" w:eastAsia="Arial" w:hAnsi="Arial" w:cs="Arial"/>
          <w:sz w:val="20"/>
          <w:szCs w:val="20"/>
        </w:rPr>
      </w:pPr>
      <w:r>
        <w:pict w14:anchorId="3B4BABBC">
          <v:rect id="_x0000_i1070" style="width:0;height:1.5pt" o:hralign="center" o:hrstd="t" o:hr="t" fillcolor="#a0a0a0" stroked="f"/>
        </w:pict>
      </w:r>
    </w:p>
    <w:p w14:paraId="37E5A1A8"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Solicitamos</w:t>
      </w:r>
    </w:p>
    <w:p w14:paraId="7F776DB0" w14:textId="77777777" w:rsidR="00BE6367" w:rsidRDefault="00BE6367">
      <w:pPr>
        <w:jc w:val="both"/>
        <w:rPr>
          <w:rFonts w:ascii="Arial" w:eastAsia="Arial" w:hAnsi="Arial" w:cs="Arial"/>
          <w:b/>
          <w:bCs/>
          <w:sz w:val="20"/>
          <w:szCs w:val="20"/>
        </w:rPr>
      </w:pPr>
    </w:p>
    <w:p w14:paraId="23B7F9F7" w14:textId="77777777" w:rsidR="00BE6367" w:rsidRDefault="00C90F6A">
      <w:pPr>
        <w:jc w:val="both"/>
        <w:rPr>
          <w:rFonts w:ascii="Arial" w:eastAsia="Arial" w:hAnsi="Arial" w:cs="Arial"/>
          <w:sz w:val="20"/>
          <w:szCs w:val="20"/>
        </w:rPr>
      </w:pPr>
      <w:r>
        <w:rPr>
          <w:rFonts w:ascii="Arial" w:eastAsia="Arial" w:hAnsi="Arial" w:cs="Arial"/>
          <w:sz w:val="20"/>
          <w:szCs w:val="20"/>
        </w:rPr>
        <w:t>Complementar los estudios del sector o la justificación técnica del proceso, indicando el sustento de aquellos requisitos técnicos diferenciadores cuya concurrencia limita el universo de soluciones disponibles en el mercado y las razones por las cuales fueron descartadas alternativas técnicamente equivalentes.</w:t>
      </w:r>
    </w:p>
    <w:p w14:paraId="63FD4A7A" w14:textId="77777777" w:rsidR="00BE6367" w:rsidRDefault="00000000">
      <w:pPr>
        <w:jc w:val="both"/>
        <w:rPr>
          <w:rFonts w:ascii="Arial" w:eastAsia="Arial" w:hAnsi="Arial" w:cs="Arial"/>
          <w:sz w:val="20"/>
          <w:szCs w:val="20"/>
        </w:rPr>
      </w:pPr>
      <w:r>
        <w:pict w14:anchorId="610823EF">
          <v:rect id="_x0000_i1071" style="width:0;height:1.5pt" o:hralign="center" o:hrstd="t" o:hr="t" fillcolor="#a0a0a0" stroked="f"/>
        </w:pict>
      </w:r>
    </w:p>
    <w:p w14:paraId="071F0AAF"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Propuesta de ajuste</w:t>
      </w:r>
    </w:p>
    <w:p w14:paraId="4CE97F51" w14:textId="77777777" w:rsidR="00BE6367" w:rsidRDefault="00BE6367">
      <w:pPr>
        <w:jc w:val="both"/>
        <w:rPr>
          <w:rFonts w:ascii="Arial" w:eastAsia="Arial" w:hAnsi="Arial" w:cs="Arial"/>
          <w:b/>
          <w:bCs/>
          <w:sz w:val="20"/>
          <w:szCs w:val="20"/>
        </w:rPr>
      </w:pPr>
    </w:p>
    <w:p w14:paraId="34C6128E" w14:textId="77777777" w:rsidR="00BE6367" w:rsidRDefault="00C90F6A">
      <w:pPr>
        <w:jc w:val="both"/>
        <w:rPr>
          <w:rFonts w:ascii="Arial" w:eastAsia="Arial" w:hAnsi="Arial" w:cs="Arial"/>
          <w:sz w:val="20"/>
          <w:szCs w:val="20"/>
        </w:rPr>
      </w:pPr>
      <w:r>
        <w:rPr>
          <w:rFonts w:ascii="Arial" w:eastAsia="Arial" w:hAnsi="Arial" w:cs="Arial"/>
          <w:sz w:val="20"/>
          <w:szCs w:val="20"/>
        </w:rPr>
        <w:t>Incorporar en los estudios previos una justificación técnica para aquellos requisitos que excedan las especificaciones habitualmente exigidas en procesos de similar naturaleza, indicando la necesidad funcional que satisfacen y el análisis de alternativas efectuado por la Entidad.</w:t>
      </w:r>
    </w:p>
    <w:p w14:paraId="2DC29A0B" w14:textId="77777777" w:rsidR="00BE6367" w:rsidRDefault="00000000">
      <w:pPr>
        <w:jc w:val="both"/>
        <w:rPr>
          <w:rFonts w:ascii="Arial" w:eastAsia="Arial" w:hAnsi="Arial" w:cs="Arial"/>
          <w:sz w:val="20"/>
          <w:szCs w:val="20"/>
        </w:rPr>
      </w:pPr>
      <w:r>
        <w:pict w14:anchorId="10578376">
          <v:rect id="_x0000_i1072" style="width:0;height:1.5pt" o:hralign="center" o:hrstd="t" o:hr="t" fillcolor="#a0a0a0" stroked="f"/>
        </w:pict>
      </w:r>
    </w:p>
    <w:p w14:paraId="1D9C6447"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13BFA7D3" w14:textId="77777777" w:rsidR="00BE6367" w:rsidRDefault="00C90F6A">
      <w:pPr>
        <w:jc w:val="both"/>
        <w:rPr>
          <w:rFonts w:ascii="Arial" w:eastAsia="Arial" w:hAnsi="Arial" w:cs="Arial"/>
          <w:sz w:val="20"/>
          <w:szCs w:val="20"/>
        </w:rPr>
      </w:pPr>
      <w:r>
        <w:rPr>
          <w:rFonts w:ascii="Arial" w:eastAsia="Arial" w:hAnsi="Arial" w:cs="Arial"/>
          <w:sz w:val="20"/>
          <w:szCs w:val="20"/>
        </w:rPr>
        <w:t>No se acepta la observación.</w:t>
      </w:r>
    </w:p>
    <w:p w14:paraId="3A960DB0"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Entidad se permite señalar que la observación está formulada de manera general y no identifica cuáles especificaciones concretas de la Ficha Técnica de Producto considera diferenciadoras, restrictivas o carentes de justificación, ni indica los ítems, características, valores o funcionalidades cuya modificación solicita. En consecuencia, no es posible efectuar un análisis técnico particular ni modificar requisitos indeterminados con fundamento en una afirmación general sobre la concurrencia de especificaciones.</w:t>
      </w:r>
    </w:p>
    <w:p w14:paraId="2997F01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Las características contenidas en la Ficha Técnica de Producto fueron definidas a partir de las necesidades funcionales, operativas y tecnológicas de la Procuraduría General de la Nación. Estas condiciones buscan garantizar, según el tipo de bien o solución, niveles mínimos de desempeño, capacidad, calidad de imagen y sonido, interoperabilidad, seguridad, administración centralizada, conectividad, compatibilidad, eficiencia energética, soporte especializado, garantía y continuidad operativa.</w:t>
      </w:r>
    </w:p>
    <w:p w14:paraId="44E2129F"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 xml:space="preserve">El análisis del sector desarrolla el contexto técnico, económico, comercial y operativo del mercado de equipos de cómputo, periféricos y soluciones audiovisuales. Asimismo, contempla </w:t>
      </w:r>
      <w:r>
        <w:rPr>
          <w:rFonts w:ascii="Arial" w:eastAsia="Arial" w:hAnsi="Arial" w:cs="Arial"/>
          <w:sz w:val="20"/>
          <w:szCs w:val="20"/>
        </w:rPr>
        <w:lastRenderedPageBreak/>
        <w:t>aspectos relacionados con interoperabilidad tecnológica, escalabilidad, compatibilidad entre plataformas, seguridad de la información, administración centralizada, soporte especializado y continuidad operativa, los cuales fueron considerados determinantes para asegurar la integración de las soluciones con la infraestructura institucional existente.</w:t>
      </w:r>
    </w:p>
    <w:p w14:paraId="2FF1320F"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De igual manera, el estudio analiza la participación de fabricantes, distribuidores autorizados, integradores tecnológicos y proveedores especializados con capacidad para suministrar soluciones convergentes de audio, video, cómputo, periféricos, implementación y soporte. A partir de dicho análisis se evidenció la existencia de múltiples actores, alternativas tecnológicas y condiciones de competencia dentro del mercado.</w:t>
      </w:r>
    </w:p>
    <w:p w14:paraId="531A2A30"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Las especificaciones técnicas no fueron establecidas como elementos aislados ni con el propósito de orientar la adquisición hacia una marca o fabricante determinado. Estas conforman integralmente el nivel mínimo de desempeño requerido para cada bien o solución. Por esta razón, su proporcionalidad debe analizarse en relación con la necesidad que satisface cada ítem y con la operación conjunta de los componentes, especialmente tratándose de soluciones que demandan integración, interoperabilidad, soporte especializado y garantías de funcionamiento.</w:t>
      </w:r>
    </w:p>
    <w:p w14:paraId="2DD14AE1"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El análisis del sector también sustenta la utilización del Mercado de Compras Públicas de la Bolsa Mercantil de Colombia como un mecanismo que permite estructurar requerimientos ajustados a las necesidades particulares de la Entidad e incorporar condiciones de desempeño, funcionalidad, interoperabilidad, soporte y garantía, bajo un escenario de competencia efectiva y formación objetiva de precios.</w:t>
      </w:r>
    </w:p>
    <w:p w14:paraId="5132729A"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Adicionalmente, la Ficha Técnica de Producto establece requisitos mínimos y, en diferentes apartados, admite condiciones iguales, superiores o similares cuando estas garantizan el resultado técnico requerido. Por ejemplo, en la solución de distribución de video sobre IP se contempla la transmisión sobre red Ethernet Gigabit estándar “o similar”, lo cual evidencia que la Entidad no excluye alternativas cuando estas permiten acreditar el cumplimiento funcional y técnico de la necesidad.</w:t>
      </w:r>
    </w:p>
    <w:p w14:paraId="1763681F"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obstante, la aceptación de equivalencias no puede realizarse de manera general e indeterminada, toda vez que una solución puede resultar equivalente respecto de una funcionalidad específica y no cumplir otras condiciones indispensables de integración, rendimiento, conectividad, seguridad, garantía o soporte. Por lo tanto, cualquier solicitud de equivalencia o modificación debe individualizar el ítem, la característica cuestionada, la alternativa propuesta y la documentación técnica que permita efectuar una comparación objetiva.</w:t>
      </w:r>
    </w:p>
    <w:p w14:paraId="5B9E2F7F"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Entidad no considera procedente complementar los estudios del sector mediante una justificación individual de cada una de las características contenidas en las fichas técnicas, pues estos documentos deben analizarse integralmente con la necesidad institucional, el estudio de mercado, la gestión de riesgos y las condiciones técnicas definidas para cada producto. La ausencia de una explicación separada para cada parámetro numérico o funcional no implica que estos carezcan de sustento técnico.</w:t>
      </w:r>
    </w:p>
    <w:p w14:paraId="5E910ADA"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se mantienen las especificaciones de la Ficha Técnica de Producto. Sin perjuicio de lo anterior, los interesados podrán formular observaciones particulares frente a características determinadas, identificando el ítem, el requisito cuestionado y la alternativa técnicamente equivalente propuesta, para que la Entidad realice el respectivo análisis.</w:t>
      </w:r>
    </w:p>
    <w:p w14:paraId="7D5A46BA"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lastRenderedPageBreak/>
        <w:t>Por los anteriores motivos, no se accede a la observación.</w:t>
      </w:r>
    </w:p>
    <w:p w14:paraId="0B583F3D" w14:textId="77777777" w:rsidR="00BE6367" w:rsidRDefault="00BE6367">
      <w:pPr>
        <w:jc w:val="both"/>
        <w:rPr>
          <w:rFonts w:ascii="Arial" w:eastAsia="Arial" w:hAnsi="Arial" w:cs="Arial"/>
          <w:sz w:val="20"/>
          <w:szCs w:val="20"/>
        </w:rPr>
      </w:pPr>
    </w:p>
    <w:p w14:paraId="537ECFC4"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No. 8</w:t>
      </w:r>
    </w:p>
    <w:p w14:paraId="42F56C6B" w14:textId="77777777" w:rsidR="00BE6367" w:rsidRDefault="00BE6367">
      <w:pPr>
        <w:jc w:val="both"/>
        <w:rPr>
          <w:rFonts w:ascii="Arial" w:eastAsia="Arial" w:hAnsi="Arial" w:cs="Arial"/>
          <w:b/>
          <w:bCs/>
          <w:sz w:val="20"/>
          <w:szCs w:val="20"/>
        </w:rPr>
      </w:pPr>
    </w:p>
    <w:p w14:paraId="5C4D1305"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CONCURRENCIA DE REQUISITOS HABILITANTES Y TÉCNICOS</w:t>
      </w:r>
    </w:p>
    <w:p w14:paraId="13DF91F8" w14:textId="77777777" w:rsidR="00BE6367" w:rsidRDefault="00BE6367">
      <w:pPr>
        <w:jc w:val="both"/>
        <w:rPr>
          <w:rFonts w:ascii="Arial" w:eastAsia="Arial" w:hAnsi="Arial" w:cs="Arial"/>
          <w:sz w:val="20"/>
          <w:szCs w:val="20"/>
        </w:rPr>
      </w:pPr>
    </w:p>
    <w:p w14:paraId="02EF80D5"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w:t>
      </w:r>
    </w:p>
    <w:p w14:paraId="392E2586" w14:textId="77777777" w:rsidR="00BE6367" w:rsidRDefault="00BE6367">
      <w:pPr>
        <w:jc w:val="both"/>
        <w:rPr>
          <w:rFonts w:ascii="Arial" w:eastAsia="Arial" w:hAnsi="Arial" w:cs="Arial"/>
          <w:b/>
          <w:bCs/>
          <w:sz w:val="20"/>
          <w:szCs w:val="20"/>
        </w:rPr>
      </w:pPr>
    </w:p>
    <w:p w14:paraId="3A625DB9" w14:textId="77777777" w:rsidR="00BE6367" w:rsidRDefault="00C90F6A">
      <w:pPr>
        <w:jc w:val="both"/>
        <w:rPr>
          <w:rFonts w:ascii="Arial" w:eastAsia="Arial" w:hAnsi="Arial" w:cs="Arial"/>
          <w:sz w:val="20"/>
          <w:szCs w:val="20"/>
        </w:rPr>
      </w:pPr>
      <w:r>
        <w:rPr>
          <w:rFonts w:ascii="Arial" w:eastAsia="Arial" w:hAnsi="Arial" w:cs="Arial"/>
          <w:sz w:val="20"/>
          <w:szCs w:val="20"/>
        </w:rPr>
        <w:t>Del análisis conjunto de la Ficha Técnica de Negociación y de la Ficha Técnica de Producto se observa que el proceso incorpora requisitos de experiencia, capacidad organizacional, certificaciones comerciales, certificaciones de gestión, perfiles profesionales y especificaciones técnicas altamente especializadas que, considerados individualmente, pueden responder a necesidades legítimas de la Entidad.</w:t>
      </w:r>
    </w:p>
    <w:p w14:paraId="6AB25D18" w14:textId="77777777" w:rsidR="00BE6367" w:rsidRDefault="00C90F6A">
      <w:pPr>
        <w:jc w:val="both"/>
        <w:rPr>
          <w:rFonts w:ascii="Arial" w:eastAsia="Arial" w:hAnsi="Arial" w:cs="Arial"/>
          <w:sz w:val="20"/>
          <w:szCs w:val="20"/>
        </w:rPr>
      </w:pPr>
      <w:r>
        <w:rPr>
          <w:rFonts w:ascii="Arial" w:eastAsia="Arial" w:hAnsi="Arial" w:cs="Arial"/>
          <w:sz w:val="20"/>
          <w:szCs w:val="20"/>
        </w:rPr>
        <w:t>No obstante, la concurrencia de todos estos requisitos incrementa progresivamente el nivel de exigencia para los potenciales oferentes, reduciendo el universo de empresas que pueden acreditar simultáneamente el cumplimiento integral de todas las condiciones establecidas.</w:t>
      </w:r>
    </w:p>
    <w:p w14:paraId="57AA4838" w14:textId="77777777" w:rsidR="00BE6367" w:rsidRDefault="00C90F6A">
      <w:pPr>
        <w:jc w:val="both"/>
        <w:rPr>
          <w:rFonts w:ascii="Arial" w:eastAsia="Arial" w:hAnsi="Arial" w:cs="Arial"/>
          <w:sz w:val="20"/>
          <w:szCs w:val="20"/>
        </w:rPr>
      </w:pPr>
      <w:r>
        <w:rPr>
          <w:rFonts w:ascii="Arial" w:eastAsia="Arial" w:hAnsi="Arial" w:cs="Arial"/>
          <w:sz w:val="20"/>
          <w:szCs w:val="20"/>
        </w:rPr>
        <w:t>Por esta razón, la evaluación de proporcionalidad no debería realizarse únicamente respecto de cada requisito de forma aislada, sino también sobre el efecto que produce su aplicación conjunta, verificando que el nivel de exigencia establecido resulte estrictamente necesario para satisfacer la necesidad institucional y no limite injustificadamente la pluralidad de oferentes.</w:t>
      </w:r>
    </w:p>
    <w:p w14:paraId="3AA178C4" w14:textId="77777777" w:rsidR="00BE6367" w:rsidRDefault="00C90F6A">
      <w:pPr>
        <w:jc w:val="both"/>
        <w:rPr>
          <w:rFonts w:ascii="Arial" w:eastAsia="Arial" w:hAnsi="Arial" w:cs="Arial"/>
          <w:sz w:val="20"/>
          <w:szCs w:val="20"/>
        </w:rPr>
      </w:pPr>
      <w:r>
        <w:rPr>
          <w:rFonts w:ascii="Arial" w:eastAsia="Arial" w:hAnsi="Arial" w:cs="Arial"/>
          <w:sz w:val="20"/>
          <w:szCs w:val="20"/>
        </w:rPr>
        <w:t>Las presentes observaciones no buscan disminuir el nivel técnico del proceso ni cuestionar la calidad de los bienes requeridos por la Procuraduría General de la Nación. Su finalidad es promover que las condiciones de participación permitan la mayor concurrencia posible de oferentes idóneos, garantizando el cumplimiento de los principios de selección objetiva, igualdad y libre competencia.</w:t>
      </w:r>
    </w:p>
    <w:p w14:paraId="5FA2CAAC" w14:textId="77777777" w:rsidR="00BE6367" w:rsidRDefault="00000000">
      <w:pPr>
        <w:jc w:val="both"/>
        <w:rPr>
          <w:rFonts w:ascii="Arial" w:eastAsia="Arial" w:hAnsi="Arial" w:cs="Arial"/>
          <w:sz w:val="20"/>
          <w:szCs w:val="20"/>
        </w:rPr>
      </w:pPr>
      <w:r>
        <w:pict w14:anchorId="085AEE1B">
          <v:rect id="_x0000_i1073" style="width:0;height:1.5pt" o:hralign="center" o:hrstd="t" o:hr="t" fillcolor="#a0a0a0" stroked="f"/>
        </w:pict>
      </w:r>
    </w:p>
    <w:p w14:paraId="03460FAA"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Fundamentos jurídicos</w:t>
      </w:r>
    </w:p>
    <w:p w14:paraId="31D3A4CE" w14:textId="77777777" w:rsidR="00BE6367" w:rsidRDefault="00C90F6A">
      <w:pPr>
        <w:numPr>
          <w:ilvl w:val="0"/>
          <w:numId w:val="49"/>
        </w:numPr>
        <w:spacing w:after="0" w:line="240" w:lineRule="auto"/>
        <w:jc w:val="both"/>
        <w:rPr>
          <w:rFonts w:ascii="Arial" w:eastAsia="Arial" w:hAnsi="Arial" w:cs="Arial"/>
        </w:rPr>
      </w:pPr>
      <w:r>
        <w:rPr>
          <w:rFonts w:ascii="Arial" w:eastAsia="Arial" w:hAnsi="Arial" w:cs="Arial"/>
          <w:sz w:val="20"/>
          <w:szCs w:val="20"/>
        </w:rPr>
        <w:t xml:space="preserve">Artículos 13 y 209 de la Constitución Política. </w:t>
      </w:r>
    </w:p>
    <w:p w14:paraId="1F664796" w14:textId="77777777" w:rsidR="00BE6367" w:rsidRDefault="00C90F6A">
      <w:pPr>
        <w:numPr>
          <w:ilvl w:val="0"/>
          <w:numId w:val="49"/>
        </w:numPr>
        <w:spacing w:after="0" w:line="240" w:lineRule="auto"/>
        <w:jc w:val="both"/>
        <w:rPr>
          <w:rFonts w:ascii="Arial" w:eastAsia="Arial" w:hAnsi="Arial" w:cs="Arial"/>
        </w:rPr>
      </w:pPr>
      <w:r>
        <w:rPr>
          <w:rFonts w:ascii="Arial" w:eastAsia="Arial" w:hAnsi="Arial" w:cs="Arial"/>
          <w:sz w:val="20"/>
          <w:szCs w:val="20"/>
        </w:rPr>
        <w:t xml:space="preserve">Artículos 24, 25 y 29 de la Ley 80 de 1993. </w:t>
      </w:r>
    </w:p>
    <w:p w14:paraId="31D4FA51" w14:textId="77777777" w:rsidR="00BE6367" w:rsidRDefault="00C90F6A">
      <w:pPr>
        <w:numPr>
          <w:ilvl w:val="0"/>
          <w:numId w:val="49"/>
        </w:numPr>
        <w:spacing w:after="0" w:line="240" w:lineRule="auto"/>
        <w:jc w:val="both"/>
        <w:rPr>
          <w:rFonts w:ascii="Arial" w:eastAsia="Arial" w:hAnsi="Arial" w:cs="Arial"/>
        </w:rPr>
      </w:pPr>
      <w:r>
        <w:rPr>
          <w:rFonts w:ascii="Arial" w:eastAsia="Arial" w:hAnsi="Arial" w:cs="Arial"/>
          <w:sz w:val="20"/>
          <w:szCs w:val="20"/>
        </w:rPr>
        <w:t xml:space="preserve">Artículo 5 de la Ley 1150 de 2007. </w:t>
      </w:r>
    </w:p>
    <w:p w14:paraId="5293D170" w14:textId="77777777" w:rsidR="00BE6367" w:rsidRDefault="00C90F6A">
      <w:pPr>
        <w:numPr>
          <w:ilvl w:val="0"/>
          <w:numId w:val="49"/>
        </w:numPr>
        <w:spacing w:after="0" w:line="240" w:lineRule="auto"/>
        <w:jc w:val="both"/>
        <w:rPr>
          <w:rFonts w:ascii="Arial" w:eastAsia="Arial" w:hAnsi="Arial" w:cs="Arial"/>
        </w:rPr>
      </w:pPr>
      <w:r>
        <w:rPr>
          <w:rFonts w:ascii="Arial" w:eastAsia="Arial" w:hAnsi="Arial" w:cs="Arial"/>
          <w:sz w:val="20"/>
          <w:szCs w:val="20"/>
        </w:rPr>
        <w:t xml:space="preserve">Decreto 1082 de 2015. </w:t>
      </w:r>
    </w:p>
    <w:p w14:paraId="0BD691A1" w14:textId="77777777" w:rsidR="00BE6367" w:rsidRDefault="00C90F6A">
      <w:pPr>
        <w:numPr>
          <w:ilvl w:val="0"/>
          <w:numId w:val="49"/>
        </w:numPr>
        <w:spacing w:after="0" w:line="240" w:lineRule="auto"/>
        <w:jc w:val="both"/>
        <w:rPr>
          <w:rFonts w:ascii="Arial" w:eastAsia="Arial" w:hAnsi="Arial" w:cs="Arial"/>
        </w:rPr>
      </w:pPr>
      <w:r>
        <w:rPr>
          <w:rFonts w:ascii="Arial" w:eastAsia="Arial" w:hAnsi="Arial" w:cs="Arial"/>
          <w:sz w:val="20"/>
          <w:szCs w:val="20"/>
        </w:rPr>
        <w:t xml:space="preserve">Principios de planeación, proporcionalidad, libre concurrencia y selección objetiva. </w:t>
      </w:r>
    </w:p>
    <w:p w14:paraId="419D7C18" w14:textId="77777777" w:rsidR="00BE6367" w:rsidRDefault="00000000">
      <w:pPr>
        <w:jc w:val="both"/>
        <w:rPr>
          <w:rFonts w:ascii="Arial" w:eastAsia="Arial" w:hAnsi="Arial" w:cs="Arial"/>
          <w:sz w:val="20"/>
          <w:szCs w:val="20"/>
        </w:rPr>
      </w:pPr>
      <w:r>
        <w:pict w14:anchorId="236D4A0B">
          <v:rect id="_x0000_i1074" style="width:0;height:1.5pt" o:hralign="center" o:hrstd="t" o:hr="t" fillcolor="#a0a0a0" stroked="f"/>
        </w:pict>
      </w:r>
    </w:p>
    <w:p w14:paraId="51AE7DCF"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Solicitamos</w:t>
      </w:r>
    </w:p>
    <w:p w14:paraId="2E1D46EA" w14:textId="77777777" w:rsidR="00BE6367" w:rsidRDefault="00BE6367">
      <w:pPr>
        <w:jc w:val="both"/>
        <w:rPr>
          <w:rFonts w:ascii="Arial" w:eastAsia="Arial" w:hAnsi="Arial" w:cs="Arial"/>
          <w:b/>
          <w:bCs/>
          <w:sz w:val="20"/>
          <w:szCs w:val="20"/>
        </w:rPr>
      </w:pPr>
    </w:p>
    <w:p w14:paraId="34365B3F" w14:textId="77777777" w:rsidR="00BE6367" w:rsidRDefault="00C90F6A">
      <w:pPr>
        <w:jc w:val="both"/>
        <w:rPr>
          <w:rFonts w:ascii="Arial" w:eastAsia="Arial" w:hAnsi="Arial" w:cs="Arial"/>
          <w:sz w:val="20"/>
          <w:szCs w:val="20"/>
        </w:rPr>
      </w:pPr>
      <w:r>
        <w:rPr>
          <w:rFonts w:ascii="Arial" w:eastAsia="Arial" w:hAnsi="Arial" w:cs="Arial"/>
          <w:sz w:val="20"/>
          <w:szCs w:val="20"/>
        </w:rPr>
        <w:t>Realizar una revisión integral de la Ficha Técnica de Negociación y de la Ficha Técnica de Producto, valorando el efecto conjunto de los requisitos habilitantes, comerciales y técnicos sobre la pluralidad de oferentes e incorporando las modificaciones propuestas cuando permitan alcanzar la misma finalidad institucional mediante mecanismos menos restrictivos.</w:t>
      </w:r>
    </w:p>
    <w:p w14:paraId="24574A5E" w14:textId="77777777" w:rsidR="00BE6367" w:rsidRDefault="00000000">
      <w:pPr>
        <w:jc w:val="both"/>
        <w:rPr>
          <w:rFonts w:ascii="Arial" w:eastAsia="Arial" w:hAnsi="Arial" w:cs="Arial"/>
          <w:sz w:val="20"/>
          <w:szCs w:val="20"/>
        </w:rPr>
      </w:pPr>
      <w:r>
        <w:lastRenderedPageBreak/>
        <w:pict w14:anchorId="32BE3F5F">
          <v:rect id="_x0000_i1075" style="width:0;height:1.5pt" o:hralign="center" o:hrstd="t" o:hr="t" fillcolor="#a0a0a0" stroked="f"/>
        </w:pict>
      </w:r>
    </w:p>
    <w:p w14:paraId="2631EEE8"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Propuesta de ajuste</w:t>
      </w:r>
    </w:p>
    <w:p w14:paraId="64A70A61" w14:textId="77777777" w:rsidR="00BE6367" w:rsidRDefault="00C90F6A">
      <w:pPr>
        <w:jc w:val="both"/>
        <w:rPr>
          <w:rFonts w:ascii="Arial" w:eastAsia="Arial" w:hAnsi="Arial" w:cs="Arial"/>
          <w:sz w:val="20"/>
          <w:szCs w:val="20"/>
        </w:rPr>
      </w:pPr>
      <w:r>
        <w:rPr>
          <w:rFonts w:ascii="Arial" w:eastAsia="Arial" w:hAnsi="Arial" w:cs="Arial"/>
          <w:sz w:val="20"/>
          <w:szCs w:val="20"/>
        </w:rPr>
        <w:t>Revisar integralmente las condiciones habilitantes y técnicas del proceso, verificando que su aplicación conjunta responda a criterios de necesidad, proporcionalidad y libre concurrencia, privilegiando mecanismos equivalentes cuando éstos permitan satisfacer la misma necesidad institucional.</w:t>
      </w:r>
    </w:p>
    <w:p w14:paraId="77460BBE"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553D766D" w14:textId="77777777" w:rsidR="00BE6367" w:rsidRDefault="00C90F6A">
      <w:pPr>
        <w:jc w:val="both"/>
        <w:rPr>
          <w:rFonts w:ascii="Arial" w:eastAsia="Arial" w:hAnsi="Arial" w:cs="Arial"/>
          <w:sz w:val="20"/>
          <w:szCs w:val="20"/>
        </w:rPr>
      </w:pPr>
      <w:r>
        <w:rPr>
          <w:rFonts w:ascii="Arial" w:eastAsia="Arial" w:hAnsi="Arial" w:cs="Arial"/>
          <w:sz w:val="20"/>
          <w:szCs w:val="20"/>
        </w:rPr>
        <w:t>No se acepta la observación.</w:t>
      </w:r>
    </w:p>
    <w:p w14:paraId="31F51DEC"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Entidad se permite señalar que la observación se formula de manera general y no identifica de forma concreta cuáles requisitos habilitantes, comerciales o técnicos considera desproporcionados, duplicados o susceptibles de ser sustituidos por mecanismos equivalentes. Tampoco individualiza el numeral de la Ficha Técnica de Negociación, el ítem de la Ficha Técnica de Producto, la condición cuestionada ni la alternativa técnica o documental cuya aceptación solicita.</w:t>
      </w:r>
    </w:p>
    <w:p w14:paraId="2389B6E9"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sola afirmación de que la aplicación conjunta de diferentes condiciones reduce el universo de participantes no demuestra que estas sean innecesarias, desproporcionadas o ajenas al objeto contractual. Para efectuar un análisis técnico particular, el interesado debe identificar el requisito cuestionado, explicar la afectación concreta que genera y aportar la información que permita comparar objetivamente la condición establecida con la alternativa propuesta.</w:t>
      </w:r>
    </w:p>
    <w:p w14:paraId="753AC9C1"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Entidad realizó la estructuración integral del proceso considerando la naturaleza, cuantía, alcance, complejidad y riesgos de la negociación. En este sentido, los requisitos incorporados en la Ficha Técnica de Negociación y en la Ficha Técnica de Producto no tienen una misma finalidad ni verifican una única capacidad del participante.</w:t>
      </w:r>
    </w:p>
    <w:p w14:paraId="6B5AEB6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Los requisitos de experiencia buscan comprobar que el potencial comitente vendedor cuenta con antecedentes contractuales relacionados y suficientes para ejecutar la negociación. La capacidad financiera y organizacional permite verificar su aptitud para atender las obligaciones económicas y operativas derivadas del proceso. Por su parte, las certificaciones de garantía, condiciones del comitente vendedor y respaldo del fabricante están orientadas a asegurar la autenticidad de los bienes, la trazabilidad de la cadena de distribución, la vigencia de las garantías, la disponibilidad de soporte y la capacidad para instalar, configurar e integrar las soluciones ofertadas.</w:t>
      </w:r>
    </w:p>
    <w:p w14:paraId="1A056C51"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De igual manera, las especificaciones establecidas en la Ficha Técnica de Producto corresponden a las condiciones mínimas de desempeño, conectividad, seguridad, interoperabilidad, administración, eficiencia energética, garantía y soporte que debe cumplir cada bien o solución. Estas características no constituyen requisitos habilitantes adicionales del proponente, sino condiciones técnicas mínimas de los productos que serán objeto de suministro.</w:t>
      </w:r>
    </w:p>
    <w:p w14:paraId="5D19252F"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Asimismo, se aclara que los documentos revisados no exigen certificaciones de sistemas de gestión empresarial del proponente en los términos señalados por el observante. Las certificaciones previstas corresponden principalmente a condiciones de producto, garantía, fabricante, distribución y respaldo técnico. Por lo tanto, la observación incorpora dentro de su análisis una categoría de requisitos que no se encuentra establecida como condición habilitante en la FTN ni en la FTP.</w:t>
      </w:r>
    </w:p>
    <w:p w14:paraId="28B45A09"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lastRenderedPageBreak/>
        <w:t>Tampoco se evidencia en la Ficha Técnica de Negociación una exigencia general de perfiles profesionales acompañados de hojas de vida, formación académica y porcentajes de dedicación para un equipo mínimo completo. Las condiciones relacionadas con personal se circunscriben a acreditaciones técnicas específicas requeridas para determinados componentes especializados de la solución, cuando la correcta instalación, configuración, integración o soporte demanda competencias certificadas.</w:t>
      </w:r>
    </w:p>
    <w:p w14:paraId="29EEDC92"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concurrencia de requisitos no implica por sí misma una restricción injustificada. Su proporcionalidad debe analizarse considerando la finalidad diferenciada de cada condición y los riesgos que pretende mitigar. Eliminar o flexibilizar indiscriminadamente requisitos bajo una solicitud general podría impedir la adecuada verificación de la experiencia, capacidad financiera, respaldo comercial, garantía, autenticidad, calidad técnica e interoperabilidad de los bienes ofertados.</w:t>
      </w:r>
    </w:p>
    <w:p w14:paraId="4B908396"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El análisis del sector identificó la existencia de un mercado tecnológico compuesto por fabricantes, mayoristas, distribuidores autorizados, integradores y proveedores especializados, con disponibilidad de bienes, servicios y soluciones que permiten condiciones de competencia y pluralidad. Además, el mecanismo de negociación mediante la Bolsa Mercantil favorece la participación de oferentes, la transparencia y la formación objetiva de precios, al tiempo que permite estructurar condiciones técnicas ajustadas a las necesidades funcionales y operativas de la Entidad.</w:t>
      </w:r>
    </w:p>
    <w:p w14:paraId="0214F454"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Entidad también incorporó medidas dirigidas a ampliar la participación. Entre ellas, se permite la acreditación de experiencia mediante varios contratos y se establecen criterios diferenciales para las Mipymes y para empresas o emprendimientos de personas en condición de discapacidad, quienes podrán aportar hasta diez (10) contratos cuando acrediten las condiciones normativas correspondientes.</w:t>
      </w:r>
    </w:p>
    <w:p w14:paraId="78EDDE07"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no resulta procedente efectuar una modificación general e indeterminada de la Ficha Técnica de Negociación y de la Ficha Técnica de Producto, ni incorporar una cláusula abierta de equivalencia aplicable a la totalidad de los requisitos. La equivalencia debe analizarse respecto de una característica específica, debido a que una alternativa puede resultar equivalente en una funcionalidad particular, pero no cumplir integralmente las condiciones de rendimiento, conectividad, interoperabilidad, seguridad, garantía o soporte requeridas por la Entidad.</w:t>
      </w:r>
    </w:p>
    <w:p w14:paraId="586BB67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Sin perjuicio de lo anterior, las observaciones particulares formuladas respecto de requisitos claramente identificados serán analizadas individualmente por la Entidad, verificando su relación con la necesidad institucional, su proporcionalidad y la viabilidad de las alternativas técnicas propuestas.</w:t>
      </w:r>
    </w:p>
    <w:p w14:paraId="3744EB99"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Por los anteriores motivos, no se accede a la observación y se mantienen las condiciones habilitantes, comerciales y técnicas establecidas en los documentos del proceso.</w:t>
      </w:r>
    </w:p>
    <w:p w14:paraId="6A0F0EAB" w14:textId="77777777" w:rsidR="00BE6367" w:rsidRDefault="00BE6367">
      <w:pPr>
        <w:jc w:val="both"/>
        <w:rPr>
          <w:rFonts w:ascii="Arial" w:eastAsia="Arial" w:hAnsi="Arial" w:cs="Arial"/>
          <w:sz w:val="20"/>
          <w:szCs w:val="20"/>
        </w:rPr>
      </w:pPr>
    </w:p>
    <w:tbl>
      <w:tblPr>
        <w:tblStyle w:val="ae"/>
        <w:tblW w:w="8353" w:type="dxa"/>
        <w:tblInd w:w="0"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1570"/>
        <w:gridCol w:w="6783"/>
      </w:tblGrid>
      <w:tr w:rsidR="00BE6367" w14:paraId="64020B6E"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5EB297E7"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Sociedad C. B.:</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047A5456"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BURSAGAN S.A.</w:t>
            </w:r>
          </w:p>
        </w:tc>
      </w:tr>
      <w:tr w:rsidR="00BE6367" w14:paraId="73EF97D4"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3D7D70E6"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Fecha Registro:</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1060FDA7"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2026-07-10 (12:00)</w:t>
            </w:r>
          </w:p>
        </w:tc>
      </w:tr>
    </w:tbl>
    <w:p w14:paraId="49A087A4" w14:textId="77777777" w:rsidR="00BE6367" w:rsidRDefault="00BE6367">
      <w:pPr>
        <w:jc w:val="both"/>
        <w:rPr>
          <w:rFonts w:ascii="Arial" w:eastAsia="Arial" w:hAnsi="Arial" w:cs="Arial"/>
          <w:b/>
          <w:bCs/>
          <w:sz w:val="20"/>
          <w:szCs w:val="20"/>
        </w:rPr>
      </w:pPr>
    </w:p>
    <w:p w14:paraId="2E808083"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lastRenderedPageBreak/>
        <w:t>Documento de Condiciones Especiales (DCE)</w:t>
      </w:r>
    </w:p>
    <w:p w14:paraId="12CEE494" w14:textId="77777777" w:rsidR="00BE6367" w:rsidRDefault="00BE6367">
      <w:pPr>
        <w:jc w:val="both"/>
        <w:rPr>
          <w:rFonts w:ascii="Arial" w:eastAsia="Arial" w:hAnsi="Arial" w:cs="Arial"/>
          <w:sz w:val="20"/>
          <w:szCs w:val="20"/>
        </w:rPr>
      </w:pPr>
    </w:p>
    <w:p w14:paraId="2623C414"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45260397"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5E6486E7"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51983DF5"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 xml:space="preserve">Documento(s) Adjunto(s): </w:t>
      </w:r>
    </w:p>
    <w:p w14:paraId="588DCB60"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Ficha Técnica de Negociación</w:t>
      </w:r>
    </w:p>
    <w:p w14:paraId="52C006E1" w14:textId="77777777" w:rsidR="00BE6367" w:rsidRDefault="00BE6367">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p>
    <w:p w14:paraId="2BD4B9E2" w14:textId="77777777" w:rsidR="00BE6367" w:rsidRDefault="00C90F6A">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r>
        <w:rPr>
          <w:rFonts w:ascii="Arial" w:eastAsia="Arial" w:hAnsi="Arial" w:cs="Arial"/>
          <w:sz w:val="20"/>
          <w:szCs w:val="20"/>
        </w:rPr>
        <w:t>Cordial saludo</w:t>
      </w:r>
    </w:p>
    <w:p w14:paraId="1AEBEC45"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Documento(s) Adjunto(s): Sí</w:t>
      </w:r>
    </w:p>
    <w:p w14:paraId="67D3CC62" w14:textId="77777777" w:rsidR="00BE6367" w:rsidRDefault="00BE6367">
      <w:pPr>
        <w:jc w:val="both"/>
        <w:rPr>
          <w:rFonts w:ascii="Arial" w:eastAsia="Arial" w:hAnsi="Arial" w:cs="Arial"/>
          <w:sz w:val="20"/>
          <w:szCs w:val="20"/>
        </w:rPr>
      </w:pPr>
    </w:p>
    <w:p w14:paraId="4354CA15"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Observación No. 1 – Certificación de fabricante</w:t>
      </w:r>
    </w:p>
    <w:p w14:paraId="26D9527C"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Respetuosamente solicitamos a la Entidad revisar el requisito de Certificación de Fabricante, en aras de garantizar los principios de pluralidad de oferentes, selección objetiva y libre concurrencia.</w:t>
      </w:r>
    </w:p>
    <w:p w14:paraId="7A3E2421"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Actualmente se exige una certificación del fabricante para equipos de cómputo, periféricos, soluciones audiovisuales y sistemas especializados, incluyendo autorizaciones de comercialización, instalación, configuración, integración y soporte para diferentes fabricantes, así como certificaciones de personal técnico.</w:t>
      </w:r>
    </w:p>
    <w:p w14:paraId="3CFCF1F6"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No obstante, para los equipos de cómputo (ítems 1, 2, 9, 10 y 11) resulta razonable exigir certificación del fabricante sobre la calidad del canal autorizado y la instalación del sistema operativo desde fábrica, dado que estos aspectos dependen directamente del fabricante del equipo.</w:t>
      </w:r>
    </w:p>
    <w:p w14:paraId="4EDB3A77"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Sin embargo, extender esta exigencia a la totalidad de las soluciones audiovisuales y de integración implica que un mismo proponente deba obtener múltiples certificaciones expedidas por diferentes fabricantes, situación que restringe injustificadamente la participación de distribuidores e integradores autorizados que cuentan con capacidad técnica y comercial para ejecutar el contrato.</w:t>
      </w:r>
    </w:p>
    <w:p w14:paraId="4B5EC7BD"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En ese sentido, solicitamos respetuosamente que la Entidad:</w:t>
      </w:r>
    </w:p>
    <w:p w14:paraId="0E2175B4"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Limite la exigencia de la certificación de fabricante únicamente a los equipos de cómputo y periféricos asociados (ítems 1, 2, 9, 10 y 11).</w:t>
      </w:r>
    </w:p>
    <w:p w14:paraId="34AD3E47"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Permita que la acreditación de autorización para los demás bienes y soluciones tecnológicas pueda demostrarse mediante certificación expedida por el mayorista autorizado, distribuidor oficial o por la cadena de distribución del fabricante (Manufacturer – Mayorista – Distribuidor – Integrador), documento que acredita de igual manera la procedencia del producto, la garantía de fábrica y la autorización para su comercialización en Colombia.</w:t>
      </w:r>
    </w:p>
    <w:p w14:paraId="753AF2FF"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lastRenderedPageBreak/>
        <w:t>Esta modificación mantiene la protección de los intereses de la Entidad y, al mismo tiempo, amplía la participación de oferentes idóneos sin afectar la calidad ni el respaldo de los bienes ofertados.</w:t>
      </w:r>
    </w:p>
    <w:p w14:paraId="71890C3B" w14:textId="77777777" w:rsidR="00BE6367" w:rsidRDefault="00C90F6A">
      <w:pPr>
        <w:spacing w:line="259" w:lineRule="auto"/>
        <w:jc w:val="both"/>
        <w:rPr>
          <w:rFonts w:ascii="Arial" w:eastAsia="Arial" w:hAnsi="Arial" w:cs="Arial"/>
          <w:b/>
          <w:bCs/>
          <w:sz w:val="20"/>
          <w:szCs w:val="20"/>
        </w:rPr>
      </w:pPr>
      <w:r>
        <w:rPr>
          <w:rFonts w:ascii="Arial" w:eastAsia="Arial" w:hAnsi="Arial" w:cs="Arial"/>
          <w:b/>
          <w:bCs/>
          <w:sz w:val="20"/>
          <w:szCs w:val="20"/>
        </w:rPr>
        <w:t>RESPUESTA A OBSERVACIÓN:</w:t>
      </w:r>
    </w:p>
    <w:p w14:paraId="31A72D58"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No se acepta la observación. La Entidad valora el reconocimiento expreso del observante respecto de la validez del requisito de certificación de fabricante para los ítems de cómputo (1, 2, 9, 10 y 11); no obstante, mantiene igualmente la exigencia de certificación expedida directamente por el fabricante para las soluciones audiovisuales y de integración (ítems 37 a 42), por las siguientes razones:</w:t>
      </w:r>
    </w:p>
    <w:p w14:paraId="758350D2"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La autorización para la comercialización, instalación, configuración, integración y soporte técnico de estas soluciones a diferencia de la simple condición de canal de distribución de un producto estandarizado exige conocimientos técnicos especializados sobre la arquitectura, programación e interoperabilidad propia de cada solución, los cuales son transferidos y certificados directamente por el fabricante a quienes reciben la capacitación técnica correspondiente, y no necesariamente se transfieren de manera íntegra a los demás eslabones de la cadena de distribución (mayoristas o distribuidores intermedios), cuya función suele limitarse a la comercialización y logística del producto.</w:t>
      </w:r>
    </w:p>
    <w:p w14:paraId="49C08FE9"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En consecuencia, la certificación directa del fabricante constituye el mecanismo más idóneo para que la Entidad verifique que el proponente cuenta con el respaldo técnico y la capacitación específica necesarios para la correcta instalación, configuración, integración y soporte de estas soluciones especializadas, mitigando los riesgos técnicos y operativos asociados a su ejecución.</w:t>
      </w:r>
    </w:p>
    <w:p w14:paraId="7B5DAECA"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En consecuencia, se mantiene el requerimiento de certificación de fabricante en los términos definidos en el FTN, tanto para los ítems de cómputo como para las soluciones audiovisuales y de integración del presente proceso.</w:t>
      </w:r>
    </w:p>
    <w:p w14:paraId="540770B8" w14:textId="77777777" w:rsidR="00BE6367" w:rsidRDefault="00BE6367">
      <w:pPr>
        <w:spacing w:line="259" w:lineRule="auto"/>
        <w:jc w:val="both"/>
        <w:rPr>
          <w:rFonts w:ascii="Arial" w:eastAsia="Arial" w:hAnsi="Arial" w:cs="Arial"/>
          <w:sz w:val="20"/>
          <w:szCs w:val="20"/>
        </w:rPr>
      </w:pPr>
    </w:p>
    <w:p w14:paraId="3C7C2E11" w14:textId="77777777" w:rsidR="00BE6367" w:rsidRDefault="00BE6367">
      <w:pPr>
        <w:spacing w:line="259" w:lineRule="auto"/>
        <w:jc w:val="both"/>
        <w:rPr>
          <w:rFonts w:ascii="Arial" w:eastAsia="Arial" w:hAnsi="Arial" w:cs="Arial"/>
          <w:sz w:val="20"/>
          <w:szCs w:val="20"/>
        </w:rPr>
      </w:pPr>
    </w:p>
    <w:p w14:paraId="0300193F" w14:textId="77777777" w:rsidR="00BE6367" w:rsidRDefault="00BE6367">
      <w:pPr>
        <w:spacing w:line="259" w:lineRule="auto"/>
        <w:jc w:val="both"/>
        <w:rPr>
          <w:rFonts w:ascii="Arial" w:eastAsia="Arial" w:hAnsi="Arial" w:cs="Arial"/>
          <w:sz w:val="20"/>
          <w:szCs w:val="20"/>
        </w:rPr>
      </w:pPr>
    </w:p>
    <w:p w14:paraId="35D53BE9" w14:textId="77777777" w:rsidR="00BE6367" w:rsidRDefault="00BE6367">
      <w:pPr>
        <w:spacing w:line="259" w:lineRule="auto"/>
        <w:jc w:val="both"/>
        <w:rPr>
          <w:rFonts w:ascii="Arial" w:eastAsia="Arial" w:hAnsi="Arial" w:cs="Arial"/>
          <w:sz w:val="20"/>
          <w:szCs w:val="20"/>
        </w:rPr>
      </w:pPr>
    </w:p>
    <w:p w14:paraId="50683210" w14:textId="77777777" w:rsidR="00BE6367" w:rsidRDefault="00C90F6A">
      <w:pPr>
        <w:spacing w:line="259" w:lineRule="auto"/>
        <w:jc w:val="both"/>
        <w:rPr>
          <w:rFonts w:ascii="Arial" w:eastAsia="Arial" w:hAnsi="Arial" w:cs="Arial"/>
          <w:b/>
          <w:bCs/>
          <w:sz w:val="20"/>
          <w:szCs w:val="20"/>
        </w:rPr>
      </w:pPr>
      <w:r>
        <w:rPr>
          <w:rFonts w:ascii="Arial" w:eastAsia="Arial" w:hAnsi="Arial" w:cs="Arial"/>
          <w:b/>
          <w:bCs/>
          <w:sz w:val="20"/>
          <w:szCs w:val="20"/>
        </w:rPr>
        <w:t>Observación No. 2 – Experiencia en implementación de plataformas de software de gestión de audiencias</w:t>
      </w:r>
    </w:p>
    <w:p w14:paraId="4855672E"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Respetuosamente solicitamos eliminar el requisito consistente en acreditar la ejecución de al menos una implementación de plataformas de software de gestión de audiencias en entidades públicas, judiciales, legislativas o corporativas durante los últimos cinco (5) años.</w:t>
      </w:r>
    </w:p>
    <w:p w14:paraId="0F64219C"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La presente negociación tiene por objeto la adquisición de un conjunto amplio de bienes tecnológicos, conformado principalmente por equipos de cómputo, periféricos, soluciones audiovisuales, infraestructura tecnológica y servicios asociados, dentro de los cuales el software de gestión de audiencias constituye únicamente uno de los componentes.</w:t>
      </w:r>
    </w:p>
    <w:p w14:paraId="0F6A259B"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En consecuencia, exigir experiencia específica en la implementación de este tipo de plataformas limita de manera desproporcionada la participación de empresas con amplia experiencia en suministro, integración e implementación de infraestructura tecnológica, pero que no han ejecutado proyectos de software de gestión de audiencias, aun cuando cuentan con las capacidades técnicas y organizacionales para desarrollar el objeto contractual.</w:t>
      </w:r>
    </w:p>
    <w:p w14:paraId="76316D2B"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 xml:space="preserve">Por lo anterior, solicitamos eliminar dicho requisito o, en su defecto, reemplazarlo por experiencia en implementación e integración de soluciones tecnológicas, audiovisuales, </w:t>
      </w:r>
      <w:r>
        <w:rPr>
          <w:rFonts w:ascii="Arial" w:eastAsia="Arial" w:hAnsi="Arial" w:cs="Arial"/>
          <w:sz w:val="20"/>
          <w:szCs w:val="20"/>
        </w:rPr>
        <w:lastRenderedPageBreak/>
        <w:t>videoconferencia, automatización, infraestructura TI o proyectos integrales de tecnología, permitiendo acreditar experiencia equivalente acorde con el alcance real del proceso.</w:t>
      </w:r>
    </w:p>
    <w:p w14:paraId="6135FDDC" w14:textId="77777777" w:rsidR="00BE6367" w:rsidRDefault="00C90F6A">
      <w:pPr>
        <w:spacing w:line="259"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6F58C8D8"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No se acepta la observación de eliminar el requisito. El alcance del presente proceso incluye la dotación tecnológica de salas de audiencias, para la cual la Entidad requiere la implementación de una plataforma de software de gestión de audiencias, tal como se precisó en la respuesta a la observación sobre este componente formulada anteriormente dentro de este mismo proceso, en la cual se determinó que dicho requerimiento se mantiene dentro del alcance principal del objeto contractual.</w:t>
      </w:r>
    </w:p>
    <w:p w14:paraId="3C1E0433"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En este sentido, la exigencia de experiencia específica en la implementación de plataformas de software de gestión de audiencias o sesiones responde a la necesidad de garantizar que el contratista adjudicatario cuente con la idoneidad técnica demostrada para el desarrollo de este componente especializado, el cual presenta particularidades funcionales (interoperabilidad con sistemas de gestión judicial, protocolos de grabación y custodia de audiencias, gestión de turnos y participantes) que no resultan necesariamente equivalentes a la experiencia general en integración de infraestructura tecnológica, audiovisual o de videoconferencia propuesta por el observante como alternativa.</w:t>
      </w:r>
    </w:p>
    <w:p w14:paraId="6693EA92"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No obstante, la Entidad precisa que este requisito de experiencia específica se exige respecto de la implementación del software de gestión de audiencias para la sala de audiencias, sin que ello implique que la totalidad de la experiencia habilitante del proceso deba acreditarse en dicho componente, pudiendo el proponente acreditar la experiencia general exigida para los demás bienes y servicios del objeto contractual mediante proyectos de infraestructura tecnológica, audiovisual o de videoconferencia, conforme a los demás requisitos de experiencia establecidos en el FTN.</w:t>
      </w:r>
    </w:p>
    <w:p w14:paraId="539ADF45"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En consecuencia, se mantiene el requisito de experiencia específica en implementación de plataformas de software de gestión de audiencias en los términos definidos en el FTN.</w:t>
      </w:r>
    </w:p>
    <w:p w14:paraId="77743A0C"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Observación No. 3 – Aplicación del beneficio de hasta diez (10) contratos</w:t>
      </w:r>
    </w:p>
    <w:p w14:paraId="40E3D259"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Respetuosamente solicitamos modificar la Nota 2, mediante la cual se establece que únicamente las empresas, emprendimientos y personas en condición de discapacidad podrán acreditar la experiencia mediante la presentación de hasta diez (10) contratos.</w:t>
      </w:r>
    </w:p>
    <w:p w14:paraId="7F098110"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Consideramos que esta condición genera un tratamiento diferenciado que restringe la participación de los demás proponentes, pese a que estos también pueden acreditar adecuadamente su experiencia mediante varios contratos de menor cuantía o alcance.</w:t>
      </w:r>
    </w:p>
    <w:p w14:paraId="2AA92FC3"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Por ello, solicitamos que la posibilidad de acreditar la experiencia mediante hasta diez (10) contratos sea aplicable a todos los proponentes, garantizando igualdad de oportunidades, pluralidad de oferentes y una mayor concurrencia dentro del proceso de selección, sin afectar la verificación de la capacidad técnica requerida por la Entidad.</w:t>
      </w:r>
    </w:p>
    <w:p w14:paraId="379A0383"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Esta modificación fortalece los principios de igualdad, libre concurrencia y selección objetiva, permitiendo que un mayor número de empresas idóneas puedan participar en condiciones equitativas.</w:t>
      </w:r>
    </w:p>
    <w:p w14:paraId="2A8590DB" w14:textId="77777777" w:rsidR="00BE6367" w:rsidRDefault="00C90F6A">
      <w:pPr>
        <w:spacing w:line="259"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6112FA59"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 xml:space="preserve">Se acepta parcialmente la observación. En aplicación de los principios de libre concurrencia, pluralidad de oferentes y selección objetiva (art. 5 Ley 1150 de 2007), la Entidad ampliará el número de contratos admisibles para la acreditación de la experiencia general habilitante, permitiendo su acreditación mediante hasta </w:t>
      </w:r>
      <w:r>
        <w:rPr>
          <w:rFonts w:ascii="Arial" w:eastAsia="Arial" w:hAnsi="Arial" w:cs="Arial"/>
          <w:b/>
          <w:bCs/>
          <w:sz w:val="20"/>
          <w:szCs w:val="20"/>
        </w:rPr>
        <w:t>ocho (8) contratos</w:t>
      </w:r>
      <w:r>
        <w:rPr>
          <w:rFonts w:ascii="Arial" w:eastAsia="Arial" w:hAnsi="Arial" w:cs="Arial"/>
          <w:sz w:val="20"/>
          <w:szCs w:val="20"/>
        </w:rPr>
        <w:t xml:space="preserve"> ejecutados y terminados, siempre que, en conjunto, cumplan con el porcentaje y las demás condiciones establecidas en el proceso.</w:t>
      </w:r>
    </w:p>
    <w:p w14:paraId="301B0B8A"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lastRenderedPageBreak/>
        <w:t>Lo anterior, sin perjuicio de los siguientes factores diferenciales ya previstos en el FTN del presente proceso:</w:t>
      </w:r>
    </w:p>
    <w:p w14:paraId="1896737E" w14:textId="77777777" w:rsidR="00BE6367" w:rsidRDefault="00C90F6A">
      <w:pPr>
        <w:spacing w:before="240" w:after="240"/>
        <w:jc w:val="both"/>
        <w:rPr>
          <w:rFonts w:ascii="Arial" w:eastAsia="Arial" w:hAnsi="Arial" w:cs="Arial"/>
          <w:sz w:val="20"/>
          <w:szCs w:val="20"/>
        </w:rPr>
      </w:pPr>
      <w:r>
        <w:rPr>
          <w:rFonts w:ascii="Arial" w:eastAsia="Arial" w:hAnsi="Arial" w:cs="Arial"/>
          <w:b/>
          <w:bCs/>
          <w:sz w:val="20"/>
          <w:szCs w:val="20"/>
        </w:rPr>
        <w:t>Nota 1:</w:t>
      </w:r>
      <w:r>
        <w:rPr>
          <w:rFonts w:ascii="Arial" w:eastAsia="Arial" w:hAnsi="Arial" w:cs="Arial"/>
          <w:sz w:val="20"/>
          <w:szCs w:val="20"/>
        </w:rPr>
        <w:t xml:space="preserve"> De conformidad con lo dispuesto en el artículo 2.2.1.2.4.2.18 del Decreto 1082 de 2015, adicionado por el Decreto 1860 de 2021, las Mipyme que participen en el presente proceso podrán acreditar su experiencia aportando hasta </w:t>
      </w:r>
      <w:r>
        <w:rPr>
          <w:rFonts w:ascii="Arial" w:eastAsia="Arial" w:hAnsi="Arial" w:cs="Arial"/>
          <w:b/>
          <w:bCs/>
          <w:sz w:val="20"/>
          <w:szCs w:val="20"/>
        </w:rPr>
        <w:t>diez (10) contratos</w:t>
      </w:r>
      <w:r>
        <w:rPr>
          <w:rFonts w:ascii="Arial" w:eastAsia="Arial" w:hAnsi="Arial" w:cs="Arial"/>
          <w:sz w:val="20"/>
          <w:szCs w:val="20"/>
        </w:rPr>
        <w:t>. La condición de Mipyme se acreditará conforme a lo dispuesto en el artículo 2.2.1.2.4.2.4 del Decreto 1082 de 2015.</w:t>
      </w:r>
    </w:p>
    <w:p w14:paraId="5ED971C1" w14:textId="77777777" w:rsidR="00BE6367" w:rsidRDefault="00C90F6A">
      <w:pPr>
        <w:spacing w:before="240" w:after="240"/>
        <w:jc w:val="both"/>
        <w:rPr>
          <w:rFonts w:ascii="Arial" w:eastAsia="Arial" w:hAnsi="Arial" w:cs="Arial"/>
          <w:sz w:val="20"/>
          <w:szCs w:val="20"/>
        </w:rPr>
      </w:pPr>
      <w:r>
        <w:rPr>
          <w:rFonts w:ascii="Arial" w:eastAsia="Arial" w:hAnsi="Arial" w:cs="Arial"/>
          <w:b/>
          <w:bCs/>
          <w:sz w:val="20"/>
          <w:szCs w:val="20"/>
        </w:rPr>
        <w:t>Nota 2:</w:t>
      </w:r>
      <w:r>
        <w:rPr>
          <w:rFonts w:ascii="Arial" w:eastAsia="Arial" w:hAnsi="Arial" w:cs="Arial"/>
          <w:sz w:val="20"/>
          <w:szCs w:val="20"/>
        </w:rPr>
        <w:t xml:space="preserve"> De conformidad con lo dispuesto en el Decreto 287 de 2026, las empresas, emprendimientos y personas en condición de discapacidad que participen en el presente proceso podrán acreditar su experiencia mediante la presentación de hasta </w:t>
      </w:r>
      <w:r>
        <w:rPr>
          <w:rFonts w:ascii="Arial" w:eastAsia="Arial" w:hAnsi="Arial" w:cs="Arial"/>
          <w:b/>
          <w:bCs/>
          <w:sz w:val="20"/>
          <w:szCs w:val="20"/>
        </w:rPr>
        <w:t>diez (10) contratos</w:t>
      </w:r>
      <w:r>
        <w:rPr>
          <w:rFonts w:ascii="Arial" w:eastAsia="Arial" w:hAnsi="Arial" w:cs="Arial"/>
          <w:sz w:val="20"/>
          <w:szCs w:val="20"/>
        </w:rPr>
        <w:t>, en los términos previstos en el pliego de condiciones.</w:t>
      </w:r>
    </w:p>
    <w:p w14:paraId="56EDCFC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Esta ampliación —tanto en el régimen general (8 contratos) como en los regímenes diferenciales (10 contratos para Mipyme y para empresas, emprendimientos y personas en condición de discapacidad)— no disminuye la capacidad técnica exigida por la Entidad, en la medida en que se mantiene el porcentaje y las demás condiciones sustantivas del requisito de experiencia, ampliándose únicamente el número de contratos mediante los cuales dicha experiencia puede acreditarse, en beneficio de la pluralidad de oferentes.</w:t>
      </w:r>
    </w:p>
    <w:p w14:paraId="7C49F1B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el FTN será ajustado para reflejar que: (i) la experiencia general habilitante podrá acreditarse con un máximo de ocho (8) contratos; (ii) los proponentes que acrediten su condición de Mipyme, conforme al artículo 2.2.1.2.4.2.4 del Decreto 1082 de 2015, podrán acreditarla con un máximo de diez (10) contratos, en los términos del artículo 2.2.1.2.4.2.18 del mismo decreto, adicionado por el Decreto 1860 de 2021; y (iii) las empresas, emprendimientos y personas en condición de discapacidad podrán acreditarla con un máximo de diez (10) contratos, conforme al Decreto 287 de 2026 y al Ficha Técnica de Negociación.</w:t>
      </w:r>
    </w:p>
    <w:p w14:paraId="3BCBF30B" w14:textId="77777777" w:rsidR="00BE6367" w:rsidRDefault="00BE6367">
      <w:pPr>
        <w:jc w:val="both"/>
        <w:rPr>
          <w:rFonts w:ascii="Arial" w:eastAsia="Arial" w:hAnsi="Arial" w:cs="Arial"/>
          <w:sz w:val="20"/>
          <w:szCs w:val="20"/>
        </w:rPr>
      </w:pPr>
    </w:p>
    <w:tbl>
      <w:tblPr>
        <w:tblStyle w:val="af"/>
        <w:tblW w:w="8353" w:type="dxa"/>
        <w:tblInd w:w="0"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1570"/>
        <w:gridCol w:w="6783"/>
      </w:tblGrid>
      <w:tr w:rsidR="00BE6367" w14:paraId="61CAE0B7"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1A37D1ED"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Sociedad C. B.:</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6A7D3E46"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GEOCAPITAL S.A.</w:t>
            </w:r>
          </w:p>
        </w:tc>
      </w:tr>
      <w:tr w:rsidR="00BE6367" w14:paraId="6F96DF46"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3F1BABCA"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Fecha Registro:</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239A4006"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2026-07-10 (13:00)</w:t>
            </w:r>
          </w:p>
        </w:tc>
      </w:tr>
    </w:tbl>
    <w:p w14:paraId="0A006A02" w14:textId="77777777" w:rsidR="00BE6367" w:rsidRDefault="00BE6367">
      <w:pPr>
        <w:jc w:val="both"/>
        <w:rPr>
          <w:rFonts w:ascii="Arial" w:eastAsia="Arial" w:hAnsi="Arial" w:cs="Arial"/>
          <w:b/>
          <w:bCs/>
          <w:sz w:val="20"/>
          <w:szCs w:val="20"/>
        </w:rPr>
      </w:pPr>
    </w:p>
    <w:p w14:paraId="4CEF7FA7"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Documento de Condiciones Especiales (DCE)</w:t>
      </w:r>
    </w:p>
    <w:p w14:paraId="1B011AF6"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14741B6C"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454CBFB9"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2C63EC9B"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 xml:space="preserve">Documento(s) Adjunto(s): </w:t>
      </w:r>
    </w:p>
    <w:p w14:paraId="1078CC54"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Ficha Técnica de Negociación</w:t>
      </w:r>
    </w:p>
    <w:p w14:paraId="05437A13" w14:textId="77777777" w:rsidR="00BE6367" w:rsidRDefault="00BE6367">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p>
    <w:p w14:paraId="08AEF04A" w14:textId="77777777" w:rsidR="00BE6367" w:rsidRDefault="00C90F6A">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r>
        <w:rPr>
          <w:rFonts w:ascii="Arial" w:eastAsia="Arial" w:hAnsi="Arial" w:cs="Arial"/>
          <w:sz w:val="20"/>
          <w:szCs w:val="20"/>
        </w:rPr>
        <w:lastRenderedPageBreak/>
        <w:t>VER ANEXO</w:t>
      </w:r>
    </w:p>
    <w:p w14:paraId="3A450200"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Documento(s) Adjunto(s): Sí</w:t>
      </w:r>
    </w:p>
    <w:p w14:paraId="046A9FE8" w14:textId="77777777" w:rsidR="00BE6367" w:rsidRDefault="00BE6367">
      <w:pPr>
        <w:jc w:val="both"/>
        <w:rPr>
          <w:rFonts w:ascii="Arial" w:eastAsia="Arial" w:hAnsi="Arial" w:cs="Arial"/>
          <w:sz w:val="20"/>
          <w:szCs w:val="20"/>
        </w:rPr>
      </w:pPr>
    </w:p>
    <w:p w14:paraId="09853BF6"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Bogotá D.C., 10 de julio de 2026</w:t>
      </w:r>
    </w:p>
    <w:p w14:paraId="5759F414" w14:textId="77777777" w:rsidR="00BE6367" w:rsidRDefault="00BE6367">
      <w:pPr>
        <w:spacing w:line="276" w:lineRule="auto"/>
        <w:jc w:val="both"/>
        <w:rPr>
          <w:rFonts w:ascii="Arial" w:eastAsia="Arial" w:hAnsi="Arial" w:cs="Arial"/>
          <w:sz w:val="20"/>
          <w:szCs w:val="20"/>
        </w:rPr>
      </w:pPr>
    </w:p>
    <w:p w14:paraId="30F58772" w14:textId="77777777" w:rsidR="00BE6367" w:rsidRDefault="00C90F6A">
      <w:pPr>
        <w:jc w:val="both"/>
        <w:rPr>
          <w:rFonts w:ascii="Arial" w:eastAsia="Arial" w:hAnsi="Arial" w:cs="Arial"/>
          <w:sz w:val="20"/>
          <w:szCs w:val="20"/>
        </w:rPr>
      </w:pPr>
      <w:r>
        <w:rPr>
          <w:rFonts w:ascii="Arial" w:eastAsia="Arial" w:hAnsi="Arial" w:cs="Arial"/>
          <w:sz w:val="20"/>
          <w:szCs w:val="20"/>
        </w:rPr>
        <w:t>Señores</w:t>
      </w:r>
    </w:p>
    <w:p w14:paraId="5659F4A2"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PROCURADURÍA GENERAL DE LA NACIÓN</w:t>
      </w:r>
    </w:p>
    <w:p w14:paraId="540ACAFC" w14:textId="77777777" w:rsidR="00BE6367" w:rsidRDefault="00C90F6A">
      <w:pPr>
        <w:jc w:val="both"/>
        <w:rPr>
          <w:rFonts w:ascii="Arial" w:eastAsia="Arial" w:hAnsi="Arial" w:cs="Arial"/>
          <w:sz w:val="20"/>
          <w:szCs w:val="20"/>
        </w:rPr>
      </w:pPr>
      <w:r>
        <w:rPr>
          <w:rFonts w:ascii="Arial" w:eastAsia="Arial" w:hAnsi="Arial" w:cs="Arial"/>
          <w:sz w:val="20"/>
          <w:szCs w:val="20"/>
        </w:rPr>
        <w:t>Ciudad</w:t>
      </w:r>
    </w:p>
    <w:p w14:paraId="3D1A011C" w14:textId="77777777" w:rsidR="00BE6367" w:rsidRDefault="00BE6367">
      <w:pPr>
        <w:spacing w:line="276" w:lineRule="auto"/>
        <w:jc w:val="both"/>
        <w:rPr>
          <w:rFonts w:ascii="Arial" w:eastAsia="Arial" w:hAnsi="Arial" w:cs="Arial"/>
          <w:sz w:val="20"/>
          <w:szCs w:val="20"/>
        </w:rPr>
      </w:pPr>
    </w:p>
    <w:p w14:paraId="29A967AA"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Asunto: Observaciones al Boletín Informativo RS 1616 cuyo objeto es ADQUISICIÓN, IMPLEMENTACIÓN Y SOPORTE TECNOLÓGICO QUE INCLUYA SOLUCIONES AUDIOVISUALES, EQUIPOS DE CÓMPUTO Y PERIFÉRICOS PARA LA PROCURADURÍA GENERAL DE LA NACIÓN.</w:t>
      </w:r>
      <w:r>
        <w:rPr>
          <w:rFonts w:ascii="Arial" w:eastAsia="Arial" w:hAnsi="Arial" w:cs="Arial"/>
          <w:sz w:val="20"/>
          <w:szCs w:val="20"/>
        </w:rPr>
        <w:t xml:space="preserve"> </w:t>
      </w:r>
      <w:r>
        <w:rPr>
          <w:rFonts w:ascii="Arial" w:eastAsia="Arial" w:hAnsi="Arial" w:cs="Arial"/>
          <w:b/>
          <w:bCs/>
          <w:sz w:val="20"/>
          <w:szCs w:val="20"/>
        </w:rPr>
        <w:t>de conformidad con el procedimiento establecido en el Reglamento de Funcionamiento y operación de la Bolsa para el Mercado de Compras Públicas.</w:t>
      </w:r>
    </w:p>
    <w:p w14:paraId="62FAAC16"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Respetados Señores:</w:t>
      </w:r>
    </w:p>
    <w:p w14:paraId="45A8C533"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Dentro del término establecido para presentar observaciones al Boletín Informativo de la referencia, y con el propósito de contribuir al desarrollo de un proceso de contratación que garantice los principios de selección objetiva, pluralidad de oferentes, libre concurrencia y eficiencia en la contratación estatal, nos permitimos presentar las siguientes observaciones:</w:t>
      </w:r>
    </w:p>
    <w:p w14:paraId="76A1FD02"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1. Requisito de experiencia del comitente vendedor – Experiencia registrada en el RUP</w:t>
      </w:r>
    </w:p>
    <w:p w14:paraId="3F741A81"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La Entidad exige que la experiencia acreditada mediante contratos registrados en el RUP corresponda a una sumatoria igual o superior al 100% del presupuesto oficial de la negociación.</w:t>
      </w:r>
    </w:p>
    <w:p w14:paraId="6429AC8A"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Respetuosamente solicitamos ajustar este requisito permitiendo acreditar una experiencia cuya sumatoria sea igual o superior al cincuenta por ciento (50%) del presupuesto oficial.</w:t>
      </w:r>
    </w:p>
    <w:p w14:paraId="2DCD16A1"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Esta modificación mantiene la garantía de idoneidad del contratista y favorece la pluralidad de oferentes, la libre concurrencia y la selección objetiva.</w:t>
      </w:r>
    </w:p>
    <w:p w14:paraId="2FE9F8EE"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3DFF7F27"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No se acepta la observación. Se considera  que reducir la experiencia habilitante a un valor acumulado equivalente al cincuenta por ciento (50%) del presupuesto oficial, no permitiría acreditar de manera suficiente la capacidad requerida para atender la magnitud y las obligaciones derivadas de la negociación, La cuantía de la experiencia solicitada guarda relación directa con el nivel de responsabilidad que asumirá el futuro comitente vendedor y con la necesidad de mitigar los riesgos de incumplimiento, retrasos, deficiencias en el suministro, dificultades de integración tecnológica y falta de capacidad para atender las garantías y servicios.</w:t>
      </w:r>
    </w:p>
    <w:p w14:paraId="0DBDD9F5" w14:textId="77777777" w:rsidR="00BE6367" w:rsidRDefault="00C90F6A">
      <w:pPr>
        <w:spacing w:after="0" w:line="240" w:lineRule="auto"/>
        <w:jc w:val="both"/>
        <w:rPr>
          <w:rFonts w:ascii="Arial" w:eastAsia="Arial" w:hAnsi="Arial" w:cs="Arial"/>
          <w:sz w:val="20"/>
          <w:szCs w:val="20"/>
        </w:rPr>
      </w:pPr>
      <w:r>
        <w:rPr>
          <w:rFonts w:ascii="Arial" w:eastAsia="Arial" w:hAnsi="Arial" w:cs="Arial"/>
          <w:sz w:val="20"/>
          <w:szCs w:val="20"/>
        </w:rPr>
        <w:t xml:space="preserve">Así las cosas, la condición prevista resulta adecuada, razonable y proporcional a la naturaleza y magnitud del proceso, y permite verificar de manera objetiva que el futuro contratista cuenta </w:t>
      </w:r>
      <w:r>
        <w:rPr>
          <w:rFonts w:ascii="Arial" w:eastAsia="Arial" w:hAnsi="Arial" w:cs="Arial"/>
          <w:sz w:val="20"/>
          <w:szCs w:val="20"/>
        </w:rPr>
        <w:lastRenderedPageBreak/>
        <w:t>con la experiencia necesaria para cumplir integralmente las obligaciones derivadas de la negociación.</w:t>
      </w:r>
    </w:p>
    <w:p w14:paraId="475F36DD" w14:textId="77777777" w:rsidR="00BE6367" w:rsidRDefault="00BE6367">
      <w:pPr>
        <w:spacing w:line="276" w:lineRule="auto"/>
        <w:jc w:val="both"/>
        <w:rPr>
          <w:rFonts w:ascii="Arial" w:eastAsia="Arial" w:hAnsi="Arial" w:cs="Arial"/>
          <w:sz w:val="20"/>
          <w:szCs w:val="20"/>
        </w:rPr>
      </w:pPr>
    </w:p>
    <w:p w14:paraId="2AC8923B"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2. Experiencia específica en plataformas de gestión de audiencias</w:t>
      </w:r>
    </w:p>
    <w:p w14:paraId="6B9EA205" w14:textId="77777777" w:rsidR="00BE6367" w:rsidRDefault="00BE6367">
      <w:pPr>
        <w:spacing w:line="276" w:lineRule="auto"/>
        <w:jc w:val="both"/>
        <w:rPr>
          <w:rFonts w:ascii="Arial" w:eastAsia="Arial" w:hAnsi="Arial" w:cs="Arial"/>
          <w:sz w:val="20"/>
          <w:szCs w:val="20"/>
        </w:rPr>
      </w:pPr>
    </w:p>
    <w:p w14:paraId="3FBA89AF"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La entidad solicita presentar contratos/certificaciones finalizadas que certifiquen al menos una implementación en los últimos cinco (5) años de plataformas de software de gestión de audiencias o sesiones.</w:t>
      </w:r>
    </w:p>
    <w:p w14:paraId="7240DFC1" w14:textId="77777777" w:rsidR="00BE6367" w:rsidRDefault="00BE6367">
      <w:pPr>
        <w:spacing w:line="276" w:lineRule="auto"/>
        <w:jc w:val="both"/>
        <w:rPr>
          <w:rFonts w:ascii="Arial" w:eastAsia="Arial" w:hAnsi="Arial" w:cs="Arial"/>
          <w:sz w:val="20"/>
          <w:szCs w:val="20"/>
        </w:rPr>
      </w:pPr>
    </w:p>
    <w:p w14:paraId="3DD4DF82"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Solicitamos amablemente a la entidad ampliar el periodo de acreditación a los últimos ocho (8) años, manteniendo las demás condiciones del requisito, dado que este tipo de proyectos conserva vigencia técnica y funcional por periodos</w:t>
      </w:r>
    </w:p>
    <w:p w14:paraId="2A8F4363"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5518F98A"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No se acepta la observación. La Entidad mantiene el periodo de acreditación de experiencia en cinco (5) años para las plataformas de software de gestión de audiencias o sesiones, por considerar que dicho periodo resulta razonable y suficiente para garantizar que el proponente adjudicatario cuente con experiencia reciente en tecnologías vigentes, en un segmento de mercado —el de plataformas de gestión de audiencias y sesiones— caracterizado por actualizaciones normativas y funcionales frecuentes (v. gr., nuevos protocolos de seguridad, integración con sistemas de expediente judicial electrónico, requisitos de accesibilidad e interoperabilidad), que hacen conveniente privilegiar la experiencia más reciente frente a la posibilidad de acreditar implementaciones de mayor antigüedad cuya vigencia funcional actual no resulta verificable en esta etapa del proceso.</w:t>
      </w:r>
    </w:p>
    <w:p w14:paraId="3A2A1566" w14:textId="77777777" w:rsidR="00BE6367" w:rsidRDefault="00C90F6A">
      <w:pPr>
        <w:spacing w:before="240" w:after="240" w:line="276" w:lineRule="auto"/>
        <w:jc w:val="both"/>
        <w:rPr>
          <w:rFonts w:ascii="Arial" w:eastAsia="Arial" w:hAnsi="Arial" w:cs="Arial"/>
          <w:sz w:val="20"/>
          <w:szCs w:val="20"/>
        </w:rPr>
      </w:pPr>
      <w:r>
        <w:rPr>
          <w:rFonts w:ascii="Arial" w:eastAsia="Arial" w:hAnsi="Arial" w:cs="Arial"/>
          <w:sz w:val="20"/>
          <w:szCs w:val="20"/>
        </w:rPr>
        <w:t>Lo anterior, sin perjuicio de precisar que el requisito no exige que la totalidad de la experiencia del proponente se circunscribe a dicho periodo, sino que, cuando menos, una (1) de las certificaciones aportadas corresponda a una implementación ejecutada dentro de los últimos cinco (5) años, pudiendo el proponente acreditar experiencia adicional con implementaciones de mayor antigüedad para efectos de los demás requisitos de experiencia general que resulten aplicables.</w:t>
      </w:r>
    </w:p>
    <w:p w14:paraId="7B83C3F7" w14:textId="77777777" w:rsidR="00BE6367" w:rsidRDefault="00C90F6A">
      <w:pPr>
        <w:spacing w:before="240" w:after="240" w:line="276" w:lineRule="auto"/>
        <w:jc w:val="both"/>
        <w:rPr>
          <w:rFonts w:ascii="Arial" w:eastAsia="Arial" w:hAnsi="Arial" w:cs="Arial"/>
          <w:sz w:val="20"/>
          <w:szCs w:val="20"/>
        </w:rPr>
      </w:pPr>
      <w:r>
        <w:rPr>
          <w:rFonts w:ascii="Arial" w:eastAsia="Arial" w:hAnsi="Arial" w:cs="Arial"/>
          <w:sz w:val="20"/>
          <w:szCs w:val="20"/>
        </w:rPr>
        <w:t>En consecuencia, se mantiene el requisito en los términos definidos en la ficha técnica (FTN).</w:t>
      </w:r>
    </w:p>
    <w:p w14:paraId="0901D9BD"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3. Lugar de instalación de los equipos</w:t>
      </w:r>
    </w:p>
    <w:p w14:paraId="270AD6A4"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Solicitamos amablemente a la entidad aclarar si la totalidad de los equipos será</w:t>
      </w:r>
      <w:r>
        <w:rPr>
          <w:rFonts w:ascii="Arial" w:eastAsia="Arial" w:hAnsi="Arial" w:cs="Arial"/>
          <w:sz w:val="20"/>
          <w:szCs w:val="20"/>
        </w:rPr>
        <w:br/>
        <w:t>instalada en un Único sitio correspondiente al numeral 6 ‘Sitio de entrega de</w:t>
      </w:r>
      <w:r>
        <w:rPr>
          <w:rFonts w:ascii="Arial" w:eastAsia="Arial" w:hAnsi="Arial" w:cs="Arial"/>
          <w:sz w:val="20"/>
          <w:szCs w:val="20"/>
        </w:rPr>
        <w:br/>
        <w:t>los bienes”, o si existen diferentes sedes. Esta información es indispensable para</w:t>
      </w:r>
      <w:r>
        <w:rPr>
          <w:rFonts w:ascii="Arial" w:eastAsia="Arial" w:hAnsi="Arial" w:cs="Arial"/>
          <w:sz w:val="20"/>
          <w:szCs w:val="20"/>
        </w:rPr>
        <w:br/>
        <w:t>estructurar correctamente la oferta técnica y económica.</w:t>
      </w:r>
    </w:p>
    <w:p w14:paraId="65D92725"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56BFA0EA" w14:textId="77777777" w:rsidR="00BE6367" w:rsidRDefault="00C90F6A">
      <w:pPr>
        <w:spacing w:line="276" w:lineRule="auto"/>
        <w:jc w:val="both"/>
        <w:rPr>
          <w:rFonts w:ascii="Arial" w:eastAsia="Arial" w:hAnsi="Arial" w:cs="Arial"/>
          <w:b/>
          <w:bCs/>
          <w:sz w:val="20"/>
          <w:szCs w:val="20"/>
        </w:rPr>
      </w:pPr>
      <w:r>
        <w:rPr>
          <w:rFonts w:ascii="Arial" w:eastAsia="Arial" w:hAnsi="Arial" w:cs="Arial"/>
          <w:sz w:val="20"/>
          <w:szCs w:val="20"/>
        </w:rPr>
        <w:t xml:space="preserve">Como se establece en la FTN: “La entrega de los bienes se deberá efectuar en la sede central del comitente comprador ubicada en la </w:t>
      </w:r>
      <w:r>
        <w:rPr>
          <w:rFonts w:ascii="Arial" w:eastAsia="Arial" w:hAnsi="Arial" w:cs="Arial"/>
          <w:b/>
          <w:bCs/>
          <w:sz w:val="20"/>
          <w:szCs w:val="20"/>
        </w:rPr>
        <w:t>Carrera 5 # 15 – 80 Bogotá D.C.”</w:t>
      </w:r>
    </w:p>
    <w:p w14:paraId="108D0F1F"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4. Confirmación del sitio de instalación</w:t>
      </w:r>
    </w:p>
    <w:p w14:paraId="0E89D123"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Solicitamos amablemente a la entidad confirmar si la instalación de todos los</w:t>
      </w:r>
      <w:r>
        <w:rPr>
          <w:rFonts w:ascii="Arial" w:eastAsia="Arial" w:hAnsi="Arial" w:cs="Arial"/>
          <w:sz w:val="20"/>
          <w:szCs w:val="20"/>
        </w:rPr>
        <w:br/>
        <w:t>dispositivos se realizará en un único inmueble ubicado en la dirección señalada</w:t>
      </w:r>
      <w:r>
        <w:rPr>
          <w:rFonts w:ascii="Arial" w:eastAsia="Arial" w:hAnsi="Arial" w:cs="Arial"/>
          <w:sz w:val="20"/>
          <w:szCs w:val="20"/>
        </w:rPr>
        <w:br/>
      </w:r>
      <w:r>
        <w:rPr>
          <w:rFonts w:ascii="Arial" w:eastAsia="Arial" w:hAnsi="Arial" w:cs="Arial"/>
          <w:sz w:val="20"/>
          <w:szCs w:val="20"/>
        </w:rPr>
        <w:lastRenderedPageBreak/>
        <w:t>en el numeral 6, permitiendo dimensionar adecuadamente los recursos</w:t>
      </w:r>
      <w:r>
        <w:rPr>
          <w:rFonts w:ascii="Arial" w:eastAsia="Arial" w:hAnsi="Arial" w:cs="Arial"/>
          <w:sz w:val="20"/>
          <w:szCs w:val="20"/>
        </w:rPr>
        <w:br/>
        <w:t>técnicos y logísticos.</w:t>
      </w:r>
    </w:p>
    <w:p w14:paraId="5828DA05"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br/>
      </w:r>
      <w:r>
        <w:rPr>
          <w:rFonts w:ascii="Arial" w:eastAsia="Arial" w:hAnsi="Arial" w:cs="Arial"/>
          <w:b/>
          <w:bCs/>
          <w:sz w:val="20"/>
          <w:szCs w:val="20"/>
        </w:rPr>
        <w:t>RESPUESTA A OBSERVACIÓN</w:t>
      </w:r>
      <w:r>
        <w:rPr>
          <w:rFonts w:ascii="Arial" w:eastAsia="Arial" w:hAnsi="Arial" w:cs="Arial"/>
          <w:sz w:val="20"/>
          <w:szCs w:val="20"/>
        </w:rPr>
        <w:t xml:space="preserve">: Como se establece en la FTN: “La entrega de los bienes se deberá efectuar en la sede central del comitente comprador ubicada en la </w:t>
      </w:r>
      <w:r>
        <w:rPr>
          <w:rFonts w:ascii="Arial" w:eastAsia="Arial" w:hAnsi="Arial" w:cs="Arial"/>
          <w:b/>
          <w:bCs/>
          <w:sz w:val="20"/>
          <w:szCs w:val="20"/>
        </w:rPr>
        <w:t>Carrera 5 # 15 – 80 Bogotá D.C.”</w:t>
      </w:r>
    </w:p>
    <w:p w14:paraId="3240D566"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5. Forma de pago</w:t>
      </w:r>
    </w:p>
    <w:p w14:paraId="7C476CE3"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Solicitamos amablemente a la entidad modificar la forma de pago permitiendo</w:t>
      </w:r>
      <w:r>
        <w:rPr>
          <w:rFonts w:ascii="Arial" w:eastAsia="Arial" w:hAnsi="Arial" w:cs="Arial"/>
          <w:sz w:val="20"/>
          <w:szCs w:val="20"/>
        </w:rPr>
        <w:br/>
        <w:t>pagos parciales conforme a la entrega efectiva de los bienes y servicios, previa</w:t>
      </w:r>
      <w:r>
        <w:rPr>
          <w:rFonts w:ascii="Arial" w:eastAsia="Arial" w:hAnsi="Arial" w:cs="Arial"/>
          <w:sz w:val="20"/>
          <w:szCs w:val="20"/>
        </w:rPr>
        <w:br/>
        <w:t>certificación de recibido a satisfacción, garantizando el equilibrio económico</w:t>
      </w:r>
      <w:r>
        <w:rPr>
          <w:rFonts w:ascii="Arial" w:eastAsia="Arial" w:hAnsi="Arial" w:cs="Arial"/>
          <w:sz w:val="20"/>
          <w:szCs w:val="20"/>
        </w:rPr>
        <w:br/>
        <w:t>del contrato durante su ejecución.</w:t>
      </w:r>
    </w:p>
    <w:p w14:paraId="5B294191"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58C53051"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No se acepta la observación. La Entidad mantendrá la forma de pago establecida en los documentos del proceso, teniendo en cuenta que esta fue definida de acuerdo con la naturaleza y el alcance de los bienes y servicios requeridos.</w:t>
      </w:r>
    </w:p>
    <w:p w14:paraId="1FDB68B2" w14:textId="77777777" w:rsidR="00BE6367" w:rsidRDefault="00C90F6A">
      <w:pPr>
        <w:spacing w:before="240" w:after="240" w:line="276" w:lineRule="auto"/>
        <w:jc w:val="both"/>
        <w:rPr>
          <w:rFonts w:ascii="Arial" w:eastAsia="Arial" w:hAnsi="Arial" w:cs="Arial"/>
          <w:sz w:val="20"/>
          <w:szCs w:val="20"/>
        </w:rPr>
      </w:pPr>
      <w:r>
        <w:rPr>
          <w:rFonts w:ascii="Arial" w:eastAsia="Arial" w:hAnsi="Arial" w:cs="Arial"/>
          <w:sz w:val="20"/>
          <w:szCs w:val="20"/>
        </w:rPr>
        <w:t>El pago se encuentra condicionado al cumplimiento integral de las obligaciones a cargo del comitente vendedor, lo cual incluye no solo la entrega de los bienes, sino también su instalación, configuración, integración, puesta en funcionamiento y recibo a satisfacción por parte de la Entidad.</w:t>
      </w:r>
    </w:p>
    <w:p w14:paraId="3F4C4344" w14:textId="77777777" w:rsidR="00BE6367" w:rsidRDefault="00C90F6A">
      <w:pPr>
        <w:spacing w:before="240" w:after="240" w:line="276" w:lineRule="auto"/>
        <w:jc w:val="both"/>
        <w:rPr>
          <w:rFonts w:ascii="Arial" w:eastAsia="Arial" w:hAnsi="Arial" w:cs="Arial"/>
          <w:sz w:val="20"/>
          <w:szCs w:val="20"/>
        </w:rPr>
      </w:pPr>
      <w:r>
        <w:rPr>
          <w:rFonts w:ascii="Arial" w:eastAsia="Arial" w:hAnsi="Arial" w:cs="Arial"/>
          <w:sz w:val="20"/>
          <w:szCs w:val="20"/>
        </w:rPr>
        <w:t>En ese sentido, no resulta procedente efectuar pagos parciales por la entrega individual de determinados componentes, toda vez que varios de ellos requieren ser verificados de manera conjunta para garantizar su compatibilidad, interoperabilidad y correcto funcionamiento.</w:t>
      </w:r>
    </w:p>
    <w:p w14:paraId="6BBD4FEF" w14:textId="77777777" w:rsidR="00BE6367" w:rsidRDefault="00C90F6A">
      <w:pPr>
        <w:spacing w:before="240" w:after="240" w:line="276" w:lineRule="auto"/>
        <w:jc w:val="both"/>
        <w:rPr>
          <w:rFonts w:ascii="Arial" w:eastAsia="Arial" w:hAnsi="Arial" w:cs="Arial"/>
          <w:sz w:val="20"/>
          <w:szCs w:val="20"/>
        </w:rPr>
      </w:pPr>
      <w:r>
        <w:rPr>
          <w:rFonts w:ascii="Arial" w:eastAsia="Arial" w:hAnsi="Arial" w:cs="Arial"/>
          <w:sz w:val="20"/>
          <w:szCs w:val="20"/>
        </w:rPr>
        <w:t>Así mismo, la forma de pago es una condición conocida por todos los interesados desde la publicación de los documentos del proceso y deberá ser considerada al momento de estructurar la oferta económica. Por lo tanto, esta condición no constituye una afectación al equilibrio económico del contrato.</w:t>
      </w:r>
    </w:p>
    <w:p w14:paraId="58B0618F" w14:textId="77777777" w:rsidR="00BE6367" w:rsidRDefault="00C90F6A">
      <w:pPr>
        <w:spacing w:before="240" w:after="240" w:line="276" w:lineRule="auto"/>
        <w:jc w:val="both"/>
        <w:rPr>
          <w:rFonts w:ascii="Arial" w:eastAsia="Arial" w:hAnsi="Arial" w:cs="Arial"/>
          <w:sz w:val="20"/>
          <w:szCs w:val="20"/>
        </w:rPr>
      </w:pPr>
      <w:r>
        <w:rPr>
          <w:rFonts w:ascii="Arial" w:eastAsia="Arial" w:hAnsi="Arial" w:cs="Arial"/>
          <w:sz w:val="20"/>
          <w:szCs w:val="20"/>
        </w:rPr>
        <w:t>En consecuencia, la Entidad mantiene la forma de pago prevista y no realizará modificaciones sobre este aspecto.</w:t>
      </w:r>
    </w:p>
    <w:p w14:paraId="019B8DC9"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6. Certificaciones del fabricante y acreditación del personal técnico</w:t>
      </w:r>
    </w:p>
    <w:p w14:paraId="479AFB89"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Solicitamos amablemente a la entidad permitir que la experiencia y</w:t>
      </w:r>
      <w:r>
        <w:rPr>
          <w:rFonts w:ascii="Arial" w:eastAsia="Arial" w:hAnsi="Arial" w:cs="Arial"/>
          <w:sz w:val="20"/>
          <w:szCs w:val="20"/>
        </w:rPr>
        <w:br/>
        <w:t>certificaciones del personal técnico puedan acreditarse a través de cualquiera</w:t>
      </w:r>
      <w:r>
        <w:rPr>
          <w:rFonts w:ascii="Arial" w:eastAsia="Arial" w:hAnsi="Arial" w:cs="Arial"/>
          <w:sz w:val="20"/>
          <w:szCs w:val="20"/>
        </w:rPr>
        <w:br/>
        <w:t>de los integrantes de la cadena de distribución autorizada del fabricante</w:t>
      </w:r>
      <w:r>
        <w:rPr>
          <w:rFonts w:ascii="Arial" w:eastAsia="Arial" w:hAnsi="Arial" w:cs="Arial"/>
          <w:sz w:val="20"/>
          <w:szCs w:val="20"/>
        </w:rPr>
        <w:br/>
        <w:t xml:space="preserve">(fabricante, mayorista o comitente vendedor), sin exigir que el profesional </w:t>
      </w:r>
      <w:r>
        <w:rPr>
          <w:rFonts w:ascii="Arial" w:eastAsia="Arial" w:hAnsi="Arial" w:cs="Arial"/>
          <w:sz w:val="20"/>
          <w:szCs w:val="20"/>
        </w:rPr>
        <w:br/>
        <w:t>se encuentre vinculado exclusivamente a la nómina del comitente vendedor. Es</w:t>
      </w:r>
      <w:r>
        <w:rPr>
          <w:rFonts w:ascii="Arial" w:eastAsia="Arial" w:hAnsi="Arial" w:cs="Arial"/>
          <w:sz w:val="20"/>
          <w:szCs w:val="20"/>
        </w:rPr>
        <w:br/>
        <w:t>modificación promueve la pluralidad de oferentes sin afectar la calidad técnica</w:t>
      </w:r>
      <w:r>
        <w:rPr>
          <w:rFonts w:ascii="Arial" w:eastAsia="Arial" w:hAnsi="Arial" w:cs="Arial"/>
          <w:sz w:val="20"/>
          <w:szCs w:val="20"/>
        </w:rPr>
        <w:br/>
        <w:t>del proyecto.</w:t>
      </w:r>
    </w:p>
    <w:p w14:paraId="1FB0945C"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RESPUESTA A OBSERVACIÓN:</w:t>
      </w:r>
    </w:p>
    <w:p w14:paraId="54384757" w14:textId="77777777" w:rsidR="00BE6367" w:rsidRDefault="00C90F6A">
      <w:pPr>
        <w:spacing w:before="240" w:after="240" w:line="276" w:lineRule="auto"/>
        <w:jc w:val="both"/>
        <w:rPr>
          <w:rFonts w:ascii="Arial" w:eastAsia="Arial" w:hAnsi="Arial" w:cs="Arial"/>
          <w:sz w:val="20"/>
          <w:szCs w:val="20"/>
        </w:rPr>
      </w:pPr>
      <w:r>
        <w:rPr>
          <w:rFonts w:ascii="Arial" w:eastAsia="Arial" w:hAnsi="Arial" w:cs="Arial"/>
          <w:sz w:val="20"/>
          <w:szCs w:val="20"/>
        </w:rPr>
        <w:t>Se acepta parcialmente la observación. La Entidad mantiene el requisito de certificación de fabricante y de certificación de competencia técnica del personal exigido en el FTN, por cuanto dicha certificación constituye el mecanismo idóneo para verificar que el proponente cuenta con el respaldo y la idoneidad técnica necesarios para la correcta instalación, configuración, integración y soporte de los equipos objeto del presente proceso.</w:t>
      </w:r>
    </w:p>
    <w:p w14:paraId="0E15BE1C" w14:textId="77777777" w:rsidR="00BE6367" w:rsidRDefault="00C90F6A">
      <w:pPr>
        <w:spacing w:before="240" w:after="240" w:line="276" w:lineRule="auto"/>
        <w:jc w:val="both"/>
        <w:rPr>
          <w:rFonts w:ascii="Arial" w:eastAsia="Arial" w:hAnsi="Arial" w:cs="Arial"/>
          <w:sz w:val="20"/>
          <w:szCs w:val="20"/>
        </w:rPr>
      </w:pPr>
      <w:r>
        <w:rPr>
          <w:rFonts w:ascii="Arial" w:eastAsia="Arial" w:hAnsi="Arial" w:cs="Arial"/>
          <w:sz w:val="20"/>
          <w:szCs w:val="20"/>
        </w:rPr>
        <w:lastRenderedPageBreak/>
        <w:t>No obstante, en aplicación de los principios de libre concurrencia y pluralidad de oferentes (art. 5 Ley 1150 de 2007), y en concordancia con el criterio ya adoptado por la Entidad frente a un requerimiento similar en el presente proceso, se precisa que el soporte documental relativo a la vinculación laboral (nómina, afiliación a seguridad social o documento equivalente) del profesional certificado con el comitente vendedor no será exigido como documento habilitante en la etapa de presentación de la oferta, sino que deberá ser aportado por el contratista que resulte adjudicatario, como condición para el correcto desarrollo del objeto contratado.</w:t>
      </w:r>
    </w:p>
    <w:p w14:paraId="732AE20E" w14:textId="77777777" w:rsidR="00BE6367" w:rsidRDefault="00C90F6A">
      <w:pPr>
        <w:spacing w:before="240" w:after="240" w:line="276" w:lineRule="auto"/>
        <w:jc w:val="both"/>
        <w:rPr>
          <w:rFonts w:ascii="Arial" w:eastAsia="Arial" w:hAnsi="Arial" w:cs="Arial"/>
          <w:sz w:val="20"/>
          <w:szCs w:val="20"/>
        </w:rPr>
      </w:pPr>
      <w:r>
        <w:rPr>
          <w:rFonts w:ascii="Arial" w:eastAsia="Arial" w:hAnsi="Arial" w:cs="Arial"/>
          <w:sz w:val="20"/>
          <w:szCs w:val="20"/>
        </w:rPr>
        <w:t>Se aclara que esta flexibilización se circunscribe exclusivamente al soporte de vinculación laboral del profesional con el comitente vendedor, y no a la certificación de competencia técnica expedida por el fabricante, la cual deberá ser presentada por el proponente en la etapa de evaluación de la oferta, identificando el nombre del profesional, el número de certificado y la fecha de expedición, conforme a lo ya exigido en el FTN.</w:t>
      </w:r>
    </w:p>
    <w:p w14:paraId="4F2F2188" w14:textId="77777777" w:rsidR="00BE6367" w:rsidRDefault="00C90F6A">
      <w:pPr>
        <w:spacing w:before="240" w:after="240" w:line="276" w:lineRule="auto"/>
        <w:jc w:val="both"/>
        <w:rPr>
          <w:rFonts w:ascii="Arial" w:eastAsia="Arial" w:hAnsi="Arial" w:cs="Arial"/>
          <w:sz w:val="20"/>
          <w:szCs w:val="20"/>
        </w:rPr>
      </w:pPr>
      <w:r>
        <w:rPr>
          <w:rFonts w:ascii="Arial" w:eastAsia="Arial" w:hAnsi="Arial" w:cs="Arial"/>
          <w:sz w:val="20"/>
          <w:szCs w:val="20"/>
        </w:rPr>
        <w:t>En consecuencia, el FTN será ajustado para reflejar que la acreditación de vinculación laboral (nómina) del personal técnico certificado será exigible al contratista adjudicatario durante la ejecución del contrato, y no como requisito habilitante en la etapa de evaluación de propuestas.</w:t>
      </w:r>
    </w:p>
    <w:p w14:paraId="5E262E5A" w14:textId="77777777" w:rsidR="00BE6367" w:rsidRDefault="00BE6367">
      <w:pPr>
        <w:jc w:val="both"/>
        <w:rPr>
          <w:rFonts w:ascii="Arial" w:eastAsia="Arial" w:hAnsi="Arial" w:cs="Arial"/>
          <w:sz w:val="20"/>
          <w:szCs w:val="20"/>
        </w:rPr>
      </w:pPr>
    </w:p>
    <w:tbl>
      <w:tblPr>
        <w:tblStyle w:val="af0"/>
        <w:tblW w:w="8353" w:type="dxa"/>
        <w:tblInd w:w="0"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1570"/>
        <w:gridCol w:w="6783"/>
      </w:tblGrid>
      <w:tr w:rsidR="00BE6367" w14:paraId="25713224"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79CD2BA0"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Sociedad C. B.:</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4F0F9FC5"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BURSAGAN S.A.</w:t>
            </w:r>
          </w:p>
        </w:tc>
      </w:tr>
      <w:tr w:rsidR="00BE6367" w14:paraId="6495F236"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029D664C"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Fecha Registro:</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6B6A3591"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2026-07-10 (13:29)</w:t>
            </w:r>
          </w:p>
        </w:tc>
      </w:tr>
    </w:tbl>
    <w:p w14:paraId="677A002B" w14:textId="77777777" w:rsidR="00BE6367" w:rsidRDefault="00BE6367">
      <w:pPr>
        <w:jc w:val="both"/>
        <w:rPr>
          <w:rFonts w:ascii="Arial" w:eastAsia="Arial" w:hAnsi="Arial" w:cs="Arial"/>
          <w:b/>
          <w:bCs/>
          <w:sz w:val="20"/>
          <w:szCs w:val="20"/>
        </w:rPr>
      </w:pPr>
    </w:p>
    <w:p w14:paraId="4E6569CE"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Documento de Condiciones Especiales (DCE)</w:t>
      </w:r>
    </w:p>
    <w:p w14:paraId="2398EB2A" w14:textId="77777777" w:rsidR="00BE6367" w:rsidRDefault="00BE6367">
      <w:pPr>
        <w:jc w:val="both"/>
        <w:rPr>
          <w:rFonts w:ascii="Arial" w:eastAsia="Arial" w:hAnsi="Arial" w:cs="Arial"/>
          <w:sz w:val="20"/>
          <w:szCs w:val="20"/>
        </w:rPr>
      </w:pPr>
    </w:p>
    <w:p w14:paraId="3C82703E"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7318C706"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18981C7B"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1E89525C" w14:textId="77777777" w:rsidR="00BE6367" w:rsidRDefault="00BE6367">
      <w:pPr>
        <w:jc w:val="both"/>
        <w:rPr>
          <w:rFonts w:ascii="Arial" w:eastAsia="Arial" w:hAnsi="Arial" w:cs="Arial"/>
          <w:sz w:val="20"/>
          <w:szCs w:val="20"/>
        </w:rPr>
      </w:pPr>
    </w:p>
    <w:p w14:paraId="15294554"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 xml:space="preserve">Documento(s) Adjunto(s): </w:t>
      </w:r>
    </w:p>
    <w:p w14:paraId="6B5559F1" w14:textId="77777777" w:rsidR="00BE6367" w:rsidRDefault="00BE6367">
      <w:pPr>
        <w:jc w:val="both"/>
        <w:rPr>
          <w:rFonts w:ascii="Arial" w:eastAsia="Arial" w:hAnsi="Arial" w:cs="Arial"/>
          <w:sz w:val="20"/>
          <w:szCs w:val="20"/>
        </w:rPr>
      </w:pPr>
    </w:p>
    <w:p w14:paraId="446855C2"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Ficha Técnica de Negociación</w:t>
      </w:r>
    </w:p>
    <w:p w14:paraId="71AEB9D5" w14:textId="77777777" w:rsidR="00BE6367" w:rsidRDefault="00BE6367">
      <w:pPr>
        <w:jc w:val="both"/>
        <w:rPr>
          <w:rFonts w:ascii="Arial" w:eastAsia="Arial" w:hAnsi="Arial" w:cs="Arial"/>
          <w:sz w:val="20"/>
          <w:szCs w:val="20"/>
        </w:rPr>
      </w:pPr>
    </w:p>
    <w:p w14:paraId="571C0FB9" w14:textId="77777777" w:rsidR="00BE6367" w:rsidRDefault="00BE6367">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p>
    <w:p w14:paraId="6A94030C" w14:textId="77777777" w:rsidR="00BE6367" w:rsidRDefault="00C90F6A">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r>
        <w:rPr>
          <w:rFonts w:ascii="Arial" w:eastAsia="Arial" w:hAnsi="Arial" w:cs="Arial"/>
          <w:sz w:val="20"/>
          <w:szCs w:val="20"/>
        </w:rPr>
        <w:t xml:space="preserve">Buena tarde </w:t>
      </w:r>
    </w:p>
    <w:p w14:paraId="4B45D134" w14:textId="77777777" w:rsidR="00BE6367" w:rsidRDefault="00BE6367">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p>
    <w:p w14:paraId="50779CAB" w14:textId="77777777" w:rsidR="00BE6367" w:rsidRDefault="00C90F6A">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r>
        <w:rPr>
          <w:rFonts w:ascii="Arial" w:eastAsia="Arial" w:hAnsi="Arial" w:cs="Arial"/>
          <w:sz w:val="20"/>
          <w:szCs w:val="20"/>
        </w:rPr>
        <w:lastRenderedPageBreak/>
        <w:t>Remitimos observaciones al proceso en mencion.</w:t>
      </w:r>
    </w:p>
    <w:p w14:paraId="17C231BA" w14:textId="77777777" w:rsidR="00BE6367" w:rsidRPr="00AA7016"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lang w:val="pt-PT"/>
        </w:rPr>
      </w:pPr>
      <w:r w:rsidRPr="00AA7016">
        <w:rPr>
          <w:rFonts w:ascii="Arial" w:eastAsia="Arial" w:hAnsi="Arial" w:cs="Arial"/>
          <w:sz w:val="20"/>
          <w:szCs w:val="20"/>
          <w:lang w:val="pt-PT"/>
        </w:rPr>
        <w:t>Documento(s) Adjunto(s): Sí</w:t>
      </w:r>
    </w:p>
    <w:p w14:paraId="0FFA6BBD" w14:textId="77777777" w:rsidR="00BE6367" w:rsidRPr="00AA7016" w:rsidRDefault="00BE6367">
      <w:pPr>
        <w:jc w:val="both"/>
        <w:rPr>
          <w:rFonts w:ascii="Arial" w:eastAsia="Arial" w:hAnsi="Arial" w:cs="Arial"/>
          <w:sz w:val="20"/>
          <w:szCs w:val="20"/>
          <w:lang w:val="pt-PT"/>
        </w:rPr>
      </w:pPr>
    </w:p>
    <w:p w14:paraId="1503E9DC" w14:textId="77777777" w:rsidR="00BE6367" w:rsidRPr="00AA7016" w:rsidRDefault="00C90F6A">
      <w:pPr>
        <w:spacing w:before="80"/>
        <w:jc w:val="both"/>
        <w:rPr>
          <w:rFonts w:ascii="Arial" w:eastAsia="Arial" w:hAnsi="Arial" w:cs="Arial"/>
          <w:sz w:val="20"/>
          <w:szCs w:val="20"/>
          <w:lang w:val="pt-PT"/>
        </w:rPr>
      </w:pPr>
      <w:r w:rsidRPr="00AA7016">
        <w:rPr>
          <w:rFonts w:ascii="Arial" w:eastAsia="Arial" w:hAnsi="Arial" w:cs="Arial"/>
          <w:sz w:val="20"/>
          <w:szCs w:val="20"/>
          <w:lang w:val="pt-PT"/>
        </w:rPr>
        <w:t>Bogotá D.C., julio de 2026</w:t>
      </w:r>
    </w:p>
    <w:p w14:paraId="522F593D" w14:textId="77777777" w:rsidR="00BE6367" w:rsidRDefault="00C90F6A">
      <w:pPr>
        <w:spacing w:before="80" w:after="80"/>
        <w:jc w:val="both"/>
        <w:rPr>
          <w:rFonts w:ascii="Arial" w:eastAsia="Arial" w:hAnsi="Arial" w:cs="Arial"/>
          <w:sz w:val="20"/>
          <w:szCs w:val="20"/>
        </w:rPr>
      </w:pPr>
      <w:r>
        <w:rPr>
          <w:rFonts w:ascii="Arial" w:eastAsia="Arial" w:hAnsi="Arial" w:cs="Arial"/>
          <w:b/>
          <w:bCs/>
          <w:color w:val="000000"/>
          <w:sz w:val="20"/>
          <w:szCs w:val="20"/>
        </w:rPr>
        <w:t>PROCURADURÍA GENERAL DE LA NACIÓN</w:t>
      </w:r>
    </w:p>
    <w:p w14:paraId="7D7F5B76"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[NOMBRE Y CARGO DEL FUNCIONARIO RESPONSABLE]</w:t>
      </w:r>
    </w:p>
    <w:p w14:paraId="19E4CA10" w14:textId="77777777" w:rsidR="00BE6367" w:rsidRDefault="00C90F6A">
      <w:pPr>
        <w:spacing w:before="80"/>
        <w:jc w:val="both"/>
        <w:rPr>
          <w:rFonts w:ascii="Arial" w:eastAsia="Arial" w:hAnsi="Arial" w:cs="Arial"/>
          <w:sz w:val="20"/>
          <w:szCs w:val="20"/>
        </w:rPr>
      </w:pPr>
      <w:r>
        <w:rPr>
          <w:rFonts w:ascii="Arial" w:eastAsia="Arial" w:hAnsi="Arial" w:cs="Arial"/>
          <w:sz w:val="20"/>
          <w:szCs w:val="20"/>
        </w:rPr>
        <w:t>E.       S.       D.</w:t>
      </w:r>
    </w:p>
    <w:p w14:paraId="79287597" w14:textId="77777777" w:rsidR="00BE6367" w:rsidRDefault="00C90F6A">
      <w:pPr>
        <w:spacing w:before="80"/>
        <w:jc w:val="both"/>
        <w:rPr>
          <w:rFonts w:ascii="Arial" w:eastAsia="Arial" w:hAnsi="Arial" w:cs="Arial"/>
          <w:sz w:val="20"/>
          <w:szCs w:val="20"/>
        </w:rPr>
      </w:pPr>
      <w:r>
        <w:rPr>
          <w:rFonts w:ascii="Arial" w:eastAsia="Arial" w:hAnsi="Arial" w:cs="Arial"/>
          <w:b/>
          <w:bCs/>
          <w:color w:val="000000"/>
          <w:sz w:val="20"/>
          <w:szCs w:val="20"/>
        </w:rPr>
        <w:t xml:space="preserve">ASUNTO: </w:t>
      </w:r>
      <w:r>
        <w:rPr>
          <w:rFonts w:ascii="Arial" w:eastAsia="Arial" w:hAnsi="Arial" w:cs="Arial"/>
          <w:sz w:val="20"/>
          <w:szCs w:val="20"/>
        </w:rPr>
        <w:t>Observaciones al pliego de condiciones del proceso BMI-2026-527 — ADQUISICIÓN, IMPLEMENTACIÓN Y SOPORTE TECNOLÓGICO QUE INCLUYA SOLUCIONES AUDIOVISUALES, EQUIPOS DE CÓMPUTO Y PERIFÉRICOS — Bolsa Mercantil de Colombia (BMC).</w:t>
      </w:r>
    </w:p>
    <w:p w14:paraId="20342163" w14:textId="77777777" w:rsidR="00BE6367" w:rsidRDefault="00C90F6A">
      <w:pPr>
        <w:spacing w:before="80" w:after="80"/>
        <w:jc w:val="both"/>
        <w:rPr>
          <w:rFonts w:ascii="Arial" w:eastAsia="Arial" w:hAnsi="Arial" w:cs="Arial"/>
          <w:sz w:val="20"/>
          <w:szCs w:val="20"/>
        </w:rPr>
      </w:pPr>
      <w:r>
        <w:rPr>
          <w:rFonts w:ascii="Arial" w:eastAsia="Arial" w:hAnsi="Arial" w:cs="Arial"/>
          <w:b/>
          <w:bCs/>
          <w:color w:val="000000"/>
          <w:sz w:val="20"/>
          <w:szCs w:val="20"/>
        </w:rPr>
        <w:t>HONORABLES SEÑORES:</w:t>
      </w:r>
    </w:p>
    <w:p w14:paraId="0AF18C70" w14:textId="77777777" w:rsidR="00BE6367" w:rsidRDefault="00C90F6A">
      <w:pPr>
        <w:spacing w:before="80" w:after="60"/>
        <w:jc w:val="both"/>
        <w:rPr>
          <w:rFonts w:ascii="Arial" w:eastAsia="Arial" w:hAnsi="Arial" w:cs="Arial"/>
          <w:sz w:val="20"/>
          <w:szCs w:val="20"/>
        </w:rPr>
      </w:pPr>
      <w:r>
        <w:rPr>
          <w:rFonts w:ascii="Arial" w:eastAsia="Arial" w:hAnsi="Arial" w:cs="Arial"/>
          <w:sz w:val="20"/>
          <w:szCs w:val="20"/>
        </w:rPr>
        <w:t>Yo, [NOMBRE DEL REPRESENTANTE LEGAL], C.C. [NÚMERO], actuando como representante legal de [EMPRESA ALIADA 2], NIT [NIT], en calidad de proponente interesado, y en ejercicio del derecho de contradicción consagrado en el numeral 5 del artículo 30 de la Ley 80 de 1993 y en el artículo 9 de la Ley 1150 de 2007, presento de manera fundamentada las siguientes observaciones al pliego de condiciones.</w:t>
      </w:r>
    </w:p>
    <w:p w14:paraId="6FA56460" w14:textId="77777777" w:rsidR="00BE6367" w:rsidRDefault="00C90F6A">
      <w:pPr>
        <w:spacing w:before="80"/>
        <w:jc w:val="both"/>
        <w:rPr>
          <w:rFonts w:ascii="Arial" w:eastAsia="Arial" w:hAnsi="Arial" w:cs="Arial"/>
          <w:sz w:val="20"/>
          <w:szCs w:val="20"/>
        </w:rPr>
      </w:pPr>
      <w:r>
        <w:rPr>
          <w:rFonts w:ascii="Arial" w:eastAsia="Arial" w:hAnsi="Arial" w:cs="Arial"/>
          <w:sz w:val="20"/>
          <w:szCs w:val="20"/>
        </w:rPr>
        <w:t>Las presentes observaciones tienen por objeto que la Procuraduría General de la Nación, en cumplimiento de los principios de transparencia, libre concurrencia, igualdad y selección objetiva (Ley 80/1993, Arts. 23 y 24; Ley 1150/2007, Art. 5°; Decreto 1082/2015), revise y ajuste requisitos técnicos que, en su redacción actual, contienen especificaciones ultra-restrictivas sin justificación técnica o de mercado verificable, las cuales vulneran la libre competencia económica (Art. 333, C.P.) y pueden generar causales de impugnación del proceso.</w:t>
      </w:r>
    </w:p>
    <w:p w14:paraId="37089FDA" w14:textId="77777777" w:rsidR="00BE6367" w:rsidRDefault="00C90F6A">
      <w:pPr>
        <w:pBdr>
          <w:bottom w:val="single" w:sz="8" w:space="4" w:color="1A5C3E"/>
        </w:pBdr>
        <w:spacing w:before="120" w:after="80"/>
        <w:jc w:val="both"/>
        <w:rPr>
          <w:rFonts w:ascii="Arial" w:eastAsia="Arial" w:hAnsi="Arial" w:cs="Arial"/>
          <w:sz w:val="20"/>
          <w:szCs w:val="20"/>
        </w:rPr>
      </w:pPr>
      <w:r>
        <w:rPr>
          <w:rFonts w:ascii="Arial" w:eastAsia="Arial" w:hAnsi="Arial" w:cs="Arial"/>
          <w:b/>
          <w:bCs/>
          <w:color w:val="1A5C3E"/>
          <w:sz w:val="20"/>
          <w:szCs w:val="20"/>
        </w:rPr>
        <w:t>OBSERVACIONES Y ACLARACIONES AL PLIEGO DE CONDICIONES</w:t>
      </w:r>
    </w:p>
    <w:p w14:paraId="60E9341A" w14:textId="77777777" w:rsidR="00BE6367" w:rsidRDefault="00C90F6A">
      <w:pPr>
        <w:pBdr>
          <w:bottom w:val="single" w:sz="4" w:space="2" w:color="2D7D50"/>
        </w:pBdr>
        <w:spacing w:before="160" w:after="40"/>
        <w:jc w:val="both"/>
        <w:rPr>
          <w:rFonts w:ascii="Arial" w:eastAsia="Arial" w:hAnsi="Arial" w:cs="Arial"/>
          <w:sz w:val="20"/>
          <w:szCs w:val="20"/>
        </w:rPr>
      </w:pPr>
      <w:r>
        <w:rPr>
          <w:rFonts w:ascii="Arial" w:eastAsia="Arial" w:hAnsi="Arial" w:cs="Arial"/>
          <w:b/>
          <w:bCs/>
          <w:color w:val="2D7D50"/>
          <w:sz w:val="20"/>
          <w:szCs w:val="20"/>
        </w:rPr>
        <w:t>ÍTEM: PANTALLA INTERACTIVA 65" — SIBOL 44320</w:t>
      </w:r>
    </w:p>
    <w:p w14:paraId="6D80B557" w14:textId="77777777" w:rsidR="00BE6367" w:rsidRDefault="00C90F6A">
      <w:pPr>
        <w:pBdr>
          <w:left w:val="single" w:sz="12" w:space="8" w:color="2D7D50"/>
        </w:pBdr>
        <w:spacing w:before="160" w:after="40"/>
        <w:ind w:left="200"/>
        <w:jc w:val="both"/>
        <w:rPr>
          <w:rFonts w:ascii="Arial" w:eastAsia="Arial" w:hAnsi="Arial" w:cs="Arial"/>
          <w:sz w:val="20"/>
          <w:szCs w:val="20"/>
        </w:rPr>
      </w:pPr>
      <w:r>
        <w:rPr>
          <w:rFonts w:ascii="Arial" w:eastAsia="Arial" w:hAnsi="Arial" w:cs="Arial"/>
          <w:b/>
          <w:bCs/>
          <w:color w:val="1A5C3E"/>
          <w:sz w:val="20"/>
          <w:szCs w:val="20"/>
        </w:rPr>
        <w:t xml:space="preserve">OBSERVACIÓN 1.1. </w:t>
      </w:r>
      <w:r>
        <w:rPr>
          <w:rFonts w:ascii="Arial" w:eastAsia="Arial" w:hAnsi="Arial" w:cs="Arial"/>
          <w:b/>
          <w:bCs/>
          <w:color w:val="000000"/>
          <w:sz w:val="20"/>
          <w:szCs w:val="20"/>
        </w:rPr>
        <w:t>Requisito de 16 micrófonos — vulnera principio de libre concurrencia (Ley 80/1993, Art. 24 Num. 5)</w:t>
      </w:r>
    </w:p>
    <w:p w14:paraId="7DB9BA05" w14:textId="77777777" w:rsidR="00BE6367" w:rsidRDefault="00C90F6A">
      <w:pPr>
        <w:spacing w:before="80" w:after="60"/>
        <w:ind w:left="200"/>
        <w:jc w:val="both"/>
        <w:rPr>
          <w:rFonts w:ascii="Arial" w:eastAsia="Arial" w:hAnsi="Arial" w:cs="Arial"/>
          <w:sz w:val="20"/>
          <w:szCs w:val="20"/>
        </w:rPr>
      </w:pPr>
      <w:r>
        <w:rPr>
          <w:rFonts w:ascii="Arial" w:eastAsia="Arial" w:hAnsi="Arial" w:cs="Arial"/>
          <w:b/>
          <w:bCs/>
          <w:color w:val="2D7D50"/>
          <w:sz w:val="20"/>
          <w:szCs w:val="20"/>
        </w:rPr>
        <w:t xml:space="preserve">Fundamento jurídico: </w:t>
      </w:r>
      <w:r>
        <w:rPr>
          <w:rFonts w:ascii="Arial" w:eastAsia="Arial" w:hAnsi="Arial" w:cs="Arial"/>
          <w:sz w:val="20"/>
          <w:szCs w:val="20"/>
        </w:rPr>
        <w:t>Artículo 24 numeral 5° de la Ley 80 de 1993. Ley 1150 de 2007, Art. 5°. Decreto 1082/2015, Art. 2.2.1.1.1.4.1. Directiva Presidencial N° 07/2021. Consejo de Estado, Sección Tercera.</w:t>
      </w:r>
    </w:p>
    <w:p w14:paraId="592255EA" w14:textId="77777777" w:rsidR="00BE6367" w:rsidRDefault="00C90F6A">
      <w:pPr>
        <w:spacing w:before="80" w:after="60"/>
        <w:ind w:left="200"/>
        <w:jc w:val="both"/>
        <w:rPr>
          <w:rFonts w:ascii="Arial" w:eastAsia="Arial" w:hAnsi="Arial" w:cs="Arial"/>
          <w:sz w:val="20"/>
          <w:szCs w:val="20"/>
        </w:rPr>
      </w:pPr>
      <w:r>
        <w:rPr>
          <w:rFonts w:ascii="Arial" w:eastAsia="Arial" w:hAnsi="Arial" w:cs="Arial"/>
          <w:sz w:val="20"/>
          <w:szCs w:val="20"/>
        </w:rPr>
        <w:t>El pliego exige mínimo 16 micrófonos integrados en el chasis. Esta especificación carece de respaldo en los estudios de mercado y de necesidad exigidos por el Decreto 1082 de 2015. El análisis de mercado evidencia que la totalidad de fabricantes certificados internacionalmente (Google EDLA, Microsoft Teams Room, Zoom Rooms) incorporan matrices de 6 a 8 micrófonos con ANR y AGC. El requisito de 16 micrófonos no corresponde a ningún estándar técnico reconocido (IEC 60268, AES, INFOCOMM/AVIXA), lo que indica que fue redactado con referencia a un producto específico, vulnerando el artículo 4° de la Ley 1150/2007 que prohíbe especificaciones de marca o modelo.</w:t>
      </w:r>
    </w:p>
    <w:p w14:paraId="1546D4D7" w14:textId="77777777" w:rsidR="00BE6367" w:rsidRDefault="00C90F6A">
      <w:pPr>
        <w:spacing w:before="80" w:after="60"/>
        <w:ind w:left="200"/>
        <w:jc w:val="both"/>
        <w:rPr>
          <w:rFonts w:ascii="Arial" w:eastAsia="Arial" w:hAnsi="Arial" w:cs="Arial"/>
          <w:sz w:val="20"/>
          <w:szCs w:val="20"/>
        </w:rPr>
      </w:pPr>
      <w:r>
        <w:rPr>
          <w:rFonts w:ascii="Arial" w:eastAsia="Arial" w:hAnsi="Arial" w:cs="Arial"/>
          <w:sz w:val="20"/>
          <w:szCs w:val="20"/>
        </w:rPr>
        <w:t>Esta especificación genera el efecto de excluir prácticamente a la totalidad de proponentes que ofrezcan equipos de primer nivel tecnológico, contraviniendo el principio de selección objetiva y el mandato de garantizar la mayor concurrencia posible.</w:t>
      </w:r>
    </w:p>
    <w:p w14:paraId="596005FC" w14:textId="77777777" w:rsidR="00BE6367" w:rsidRDefault="00C90F6A">
      <w:pPr>
        <w:spacing w:before="60" w:after="120"/>
        <w:ind w:left="200"/>
        <w:jc w:val="both"/>
        <w:rPr>
          <w:rFonts w:ascii="Arial" w:eastAsia="Arial" w:hAnsi="Arial" w:cs="Arial"/>
          <w:sz w:val="20"/>
          <w:szCs w:val="20"/>
        </w:rPr>
      </w:pPr>
      <w:r>
        <w:rPr>
          <w:rFonts w:ascii="Arial" w:eastAsia="Arial" w:hAnsi="Arial" w:cs="Arial"/>
          <w:b/>
          <w:bCs/>
          <w:color w:val="2D7D50"/>
          <w:sz w:val="20"/>
          <w:szCs w:val="20"/>
        </w:rPr>
        <w:lastRenderedPageBreak/>
        <w:t xml:space="preserve">Solicitud: </w:t>
      </w:r>
      <w:r>
        <w:rPr>
          <w:rFonts w:ascii="Arial" w:eastAsia="Arial" w:hAnsi="Arial" w:cs="Arial"/>
          <w:sz w:val="20"/>
          <w:szCs w:val="20"/>
        </w:rPr>
        <w:t>Se solicita ajustar a: 'Mínimo 8 micrófonos integrados en el chasis, con Sistema de Reducción Activa de Ruido (ANR/ANC) y Control Automático de Ganancia (AGC)', correspondiente al estándar de la industria verificable.</w:t>
      </w:r>
    </w:p>
    <w:p w14:paraId="53D27222" w14:textId="77777777" w:rsidR="00BE6367" w:rsidRDefault="00BE6367">
      <w:pPr>
        <w:spacing w:before="60" w:after="120"/>
        <w:ind w:left="200"/>
        <w:jc w:val="both"/>
        <w:rPr>
          <w:rFonts w:ascii="Arial" w:eastAsia="Arial" w:hAnsi="Arial" w:cs="Arial"/>
          <w:sz w:val="20"/>
          <w:szCs w:val="20"/>
        </w:rPr>
      </w:pPr>
    </w:p>
    <w:p w14:paraId="4B71572C"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5629FE23"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acepta parcialmente la observación. La Entidad mantiene el requerimiento de un mínimo de 16 micrófonos, por corresponder a una necesidad identificada en el análisis técnico y el estudio de mercado que sustentan el presente proceso, orientada a garantizar una cobertura de captación de audio acorde con las dimensiones y el uso previsto para los espacios donde se instalarán los equipos.</w:t>
      </w:r>
    </w:p>
    <w:p w14:paraId="240765A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obstante, se acoge la solicitud del observante en cuanto a admitir que dicha cantidad se logre mediante micrófonos integrados en el chasis del equipo, o una combinación de micrófonos de expansión suministrados por el fabricante, siempre que el conjunto total garantice la cobertura de captación exigida y que los micrófonos ofertados integrados o de expansión, en los términos propuestos por el observante, a fin de asegurar un estándar de calidad de audio acorde con las mejores prácticas de la industria.</w:t>
      </w:r>
    </w:p>
    <w:p w14:paraId="4AD452F9"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ficha técnica será ajustada para precisar que el requisito de 16 micrófonos podrá cumplirse mediante micrófonos integrados, módulos de expansión del mismo fabricante, o la combinación de ambos, exigiéndose en todo caso la incorporación de tecnología ANR y AGC.</w:t>
      </w:r>
    </w:p>
    <w:p w14:paraId="4E7FEBFA" w14:textId="77777777" w:rsidR="00BE6367" w:rsidRDefault="00BE6367">
      <w:pPr>
        <w:spacing w:before="60" w:after="120"/>
        <w:ind w:left="200"/>
        <w:jc w:val="both"/>
        <w:rPr>
          <w:rFonts w:ascii="Arial" w:eastAsia="Arial" w:hAnsi="Arial" w:cs="Arial"/>
          <w:sz w:val="20"/>
          <w:szCs w:val="20"/>
        </w:rPr>
      </w:pPr>
    </w:p>
    <w:p w14:paraId="1C8CC7A4" w14:textId="77777777" w:rsidR="00BE6367" w:rsidRDefault="00C90F6A">
      <w:pPr>
        <w:pBdr>
          <w:left w:val="single" w:sz="12" w:space="8" w:color="2D7D50"/>
        </w:pBdr>
        <w:spacing w:before="160" w:after="40"/>
        <w:ind w:left="200"/>
        <w:jc w:val="both"/>
        <w:rPr>
          <w:rFonts w:ascii="Arial" w:eastAsia="Arial" w:hAnsi="Arial" w:cs="Arial"/>
          <w:sz w:val="20"/>
          <w:szCs w:val="20"/>
        </w:rPr>
      </w:pPr>
      <w:r>
        <w:rPr>
          <w:rFonts w:ascii="Arial" w:eastAsia="Arial" w:hAnsi="Arial" w:cs="Arial"/>
          <w:b/>
          <w:bCs/>
          <w:color w:val="1A5C3E"/>
          <w:sz w:val="20"/>
          <w:szCs w:val="20"/>
        </w:rPr>
        <w:t xml:space="preserve">OBSERVACIÓN 1.2. </w:t>
      </w:r>
      <w:r>
        <w:rPr>
          <w:rFonts w:ascii="Arial" w:eastAsia="Arial" w:hAnsi="Arial" w:cs="Arial"/>
          <w:b/>
          <w:bCs/>
          <w:color w:val="000000"/>
          <w:sz w:val="20"/>
          <w:szCs w:val="20"/>
        </w:rPr>
        <w:t>Alcance de micrófonos 10 metros — requisito sin sustento en estudios previos (Decreto 1082/2015)</w:t>
      </w:r>
    </w:p>
    <w:p w14:paraId="5FD38EAE" w14:textId="77777777" w:rsidR="00BE6367" w:rsidRDefault="00C90F6A">
      <w:pPr>
        <w:spacing w:before="80" w:after="60"/>
        <w:ind w:left="200"/>
        <w:jc w:val="both"/>
        <w:rPr>
          <w:rFonts w:ascii="Arial" w:eastAsia="Arial" w:hAnsi="Arial" w:cs="Arial"/>
          <w:sz w:val="20"/>
          <w:szCs w:val="20"/>
        </w:rPr>
      </w:pPr>
      <w:r>
        <w:rPr>
          <w:rFonts w:ascii="Arial" w:eastAsia="Arial" w:hAnsi="Arial" w:cs="Arial"/>
          <w:b/>
          <w:bCs/>
          <w:color w:val="2D7D50"/>
          <w:sz w:val="20"/>
          <w:szCs w:val="20"/>
        </w:rPr>
        <w:t xml:space="preserve">Fundamento jurídico: </w:t>
      </w:r>
      <w:r>
        <w:rPr>
          <w:rFonts w:ascii="Arial" w:eastAsia="Arial" w:hAnsi="Arial" w:cs="Arial"/>
          <w:sz w:val="20"/>
          <w:szCs w:val="20"/>
        </w:rPr>
        <w:t>Art. 2.2.1.1.1.4.1 del Decreto 1082/2015: el estudio de mercado debe identificar especificaciones acordes con las necesidades reales. Principio de planeación, Ley 80/1993, Art. 25 Num. 12.</w:t>
      </w:r>
    </w:p>
    <w:p w14:paraId="52159A94" w14:textId="77777777" w:rsidR="00BE6367" w:rsidRDefault="00C90F6A">
      <w:pPr>
        <w:spacing w:before="80" w:after="60"/>
        <w:ind w:left="200"/>
        <w:jc w:val="both"/>
        <w:rPr>
          <w:rFonts w:ascii="Arial" w:eastAsia="Arial" w:hAnsi="Arial" w:cs="Arial"/>
          <w:sz w:val="20"/>
          <w:szCs w:val="20"/>
        </w:rPr>
      </w:pPr>
      <w:r>
        <w:rPr>
          <w:rFonts w:ascii="Arial" w:eastAsia="Arial" w:hAnsi="Arial" w:cs="Arial"/>
          <w:sz w:val="20"/>
          <w:szCs w:val="20"/>
        </w:rPr>
        <w:t>El alcance de 10 metros no está respaldado en los estudios previos del proceso ni en estándares de diseño de espacios colaborativos. El estándar AVIXA/INFOCOMM F502.01:2018 documenta que la distancia máxima usuaria-pantalla en salas con displays de 65" no supera los 8 metros. La combinación '16 micrófonos + alcance 10 metros' solo puede ser satisfecha por un número extremadamente reducido de fabricantes, sugiriendo especificación con referencia implícita a marca determinada, en violación del Art. 4° de la Ley 1150/2007.</w:t>
      </w:r>
    </w:p>
    <w:p w14:paraId="21D7F2CA" w14:textId="77777777" w:rsidR="00BE6367" w:rsidRDefault="00C90F6A">
      <w:pPr>
        <w:spacing w:before="60" w:after="120"/>
        <w:ind w:left="200"/>
        <w:jc w:val="both"/>
        <w:rPr>
          <w:rFonts w:ascii="Arial" w:eastAsia="Arial" w:hAnsi="Arial" w:cs="Arial"/>
          <w:sz w:val="20"/>
          <w:szCs w:val="20"/>
        </w:rPr>
      </w:pPr>
      <w:r>
        <w:rPr>
          <w:rFonts w:ascii="Arial" w:eastAsia="Arial" w:hAnsi="Arial" w:cs="Arial"/>
          <w:b/>
          <w:bCs/>
          <w:color w:val="2D7D50"/>
          <w:sz w:val="20"/>
          <w:szCs w:val="20"/>
        </w:rPr>
        <w:t xml:space="preserve">Solicitud: </w:t>
      </w:r>
      <w:r>
        <w:rPr>
          <w:rFonts w:ascii="Arial" w:eastAsia="Arial" w:hAnsi="Arial" w:cs="Arial"/>
          <w:sz w:val="20"/>
          <w:szCs w:val="20"/>
        </w:rPr>
        <w:t>Se solicita ajustar a: 'Alcance efectivo mínimo de 8 metros', conforme a estándares de uso verificables.</w:t>
      </w:r>
    </w:p>
    <w:p w14:paraId="3E986A37" w14:textId="77777777" w:rsidR="006C3683" w:rsidRDefault="006C3683">
      <w:pPr>
        <w:spacing w:before="60" w:after="120"/>
        <w:ind w:left="200"/>
        <w:jc w:val="both"/>
        <w:rPr>
          <w:rFonts w:ascii="Arial" w:eastAsia="Arial" w:hAnsi="Arial" w:cs="Arial"/>
          <w:sz w:val="20"/>
          <w:szCs w:val="20"/>
        </w:rPr>
      </w:pPr>
    </w:p>
    <w:p w14:paraId="7489ECBF" w14:textId="77777777" w:rsidR="00BE6367" w:rsidRDefault="00BE6367">
      <w:pPr>
        <w:spacing w:before="60" w:after="120"/>
        <w:ind w:left="200"/>
        <w:jc w:val="both"/>
        <w:rPr>
          <w:rFonts w:ascii="Arial" w:eastAsia="Arial" w:hAnsi="Arial" w:cs="Arial"/>
          <w:sz w:val="20"/>
          <w:szCs w:val="20"/>
        </w:rPr>
      </w:pPr>
    </w:p>
    <w:p w14:paraId="6A4C5285" w14:textId="77777777" w:rsidR="00BE6367" w:rsidRDefault="00C90F6A">
      <w:pPr>
        <w:spacing w:after="0"/>
        <w:jc w:val="both"/>
        <w:rPr>
          <w:rFonts w:ascii="Arial" w:eastAsia="Arial" w:hAnsi="Arial" w:cs="Arial"/>
          <w:b/>
          <w:bCs/>
          <w:sz w:val="20"/>
          <w:szCs w:val="20"/>
        </w:rPr>
      </w:pPr>
      <w:r>
        <w:rPr>
          <w:rFonts w:ascii="Arial" w:eastAsia="Arial" w:hAnsi="Arial" w:cs="Arial"/>
          <w:b/>
          <w:bCs/>
          <w:sz w:val="20"/>
          <w:szCs w:val="20"/>
        </w:rPr>
        <w:t>RESPUESTA A OBSERVACIÓN:</w:t>
      </w:r>
    </w:p>
    <w:p w14:paraId="0D06B154"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 xml:space="preserve">No se acepta la observación. La Entidad, con fundamento en el análisis técnico y el estudio de mercado que sustentan el presente proceso, mantiene el requerimiento de alcance efectivo mínimo de 10 metros para los micrófonos integrados, por considerar que dicha cobertura resulta necesaria para garantizar la adecuada captación de audio en la totalidad de los espacios en </w:t>
      </w:r>
      <w:r>
        <w:rPr>
          <w:rFonts w:ascii="Arial" w:eastAsia="Arial" w:hAnsi="Arial" w:cs="Arial"/>
          <w:sz w:val="20"/>
          <w:szCs w:val="20"/>
        </w:rPr>
        <w:lastRenderedPageBreak/>
        <w:t>los que se prevé la instalación y uso de los equipos, los cuales pueden superar las dimensiones estándar de una sala de reuniones convencional.</w:t>
      </w:r>
    </w:p>
    <w:p w14:paraId="54CDA467"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Sin perjuicio de lo anterior, la Entidad aclara que el alcance exigido corresponde a una condición de cobertura funcional del equipo y no impide que este sea alcanzado mediante tecnologías de micrófonos con beamforming activo u otras soluciones técnicas equivalentes, siempre que el proponente acredite, mediante ficha técnica del fabricante, el cumplimiento del alcance mínimo exigido.</w:t>
      </w:r>
    </w:p>
    <w:p w14:paraId="7028E8CB"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se mantiene el requisito de alcance efectivo mínimo de 10 metros en los términos definidos en la ficha técnica.</w:t>
      </w:r>
    </w:p>
    <w:p w14:paraId="6C77AABB" w14:textId="77777777" w:rsidR="00BE6367" w:rsidRDefault="00C90F6A">
      <w:pPr>
        <w:pBdr>
          <w:left w:val="single" w:sz="12" w:space="8" w:color="2D7D50"/>
        </w:pBdr>
        <w:spacing w:before="160" w:after="40"/>
        <w:ind w:left="200"/>
        <w:jc w:val="both"/>
        <w:rPr>
          <w:rFonts w:ascii="Arial" w:eastAsia="Arial" w:hAnsi="Arial" w:cs="Arial"/>
          <w:sz w:val="20"/>
          <w:szCs w:val="20"/>
        </w:rPr>
      </w:pPr>
      <w:r>
        <w:rPr>
          <w:rFonts w:ascii="Arial" w:eastAsia="Arial" w:hAnsi="Arial" w:cs="Arial"/>
          <w:b/>
          <w:bCs/>
          <w:color w:val="1A5C3E"/>
          <w:sz w:val="20"/>
          <w:szCs w:val="20"/>
        </w:rPr>
        <w:t xml:space="preserve">OBSERVACIÓN 1.3. </w:t>
      </w:r>
      <w:r>
        <w:rPr>
          <w:rFonts w:ascii="Arial" w:eastAsia="Arial" w:hAnsi="Arial" w:cs="Arial"/>
          <w:b/>
          <w:bCs/>
          <w:color w:val="000000"/>
          <w:sz w:val="20"/>
          <w:szCs w:val="20"/>
        </w:rPr>
        <w:t>Wi-Fi 6 (802.11ax) — restricción injustificada que viola principio de libre concurrencia</w:t>
      </w:r>
    </w:p>
    <w:p w14:paraId="45DDB2DB" w14:textId="77777777" w:rsidR="00BE6367" w:rsidRDefault="00C90F6A">
      <w:pPr>
        <w:spacing w:before="80" w:after="60"/>
        <w:ind w:left="200"/>
        <w:jc w:val="both"/>
        <w:rPr>
          <w:rFonts w:ascii="Arial" w:eastAsia="Arial" w:hAnsi="Arial" w:cs="Arial"/>
          <w:sz w:val="20"/>
          <w:szCs w:val="20"/>
        </w:rPr>
      </w:pPr>
      <w:r>
        <w:rPr>
          <w:rFonts w:ascii="Arial" w:eastAsia="Arial" w:hAnsi="Arial" w:cs="Arial"/>
          <w:b/>
          <w:bCs/>
          <w:color w:val="2D7D50"/>
          <w:sz w:val="20"/>
          <w:szCs w:val="20"/>
        </w:rPr>
        <w:t xml:space="preserve">Fundamento jurídico: </w:t>
      </w:r>
      <w:r>
        <w:rPr>
          <w:rFonts w:ascii="Arial" w:eastAsia="Arial" w:hAnsi="Arial" w:cs="Arial"/>
          <w:sz w:val="20"/>
          <w:szCs w:val="20"/>
        </w:rPr>
        <w:t>Ley 80/1993, Art. 24-5°. Principio de equivalencia funcional. Consejo de Estado, Sección Tercera. Decreto 1082/2015, Art. 2.2.1.1.1.4.1.</w:t>
      </w:r>
    </w:p>
    <w:p w14:paraId="65235D30" w14:textId="77777777" w:rsidR="00BE6367" w:rsidRDefault="00C90F6A">
      <w:pPr>
        <w:spacing w:before="80" w:after="60"/>
        <w:ind w:left="200"/>
        <w:jc w:val="both"/>
        <w:rPr>
          <w:rFonts w:ascii="Arial" w:eastAsia="Arial" w:hAnsi="Arial" w:cs="Arial"/>
          <w:sz w:val="20"/>
          <w:szCs w:val="20"/>
        </w:rPr>
      </w:pPr>
      <w:r>
        <w:rPr>
          <w:rFonts w:ascii="Arial" w:eastAsia="Arial" w:hAnsi="Arial" w:cs="Arial"/>
          <w:sz w:val="20"/>
          <w:szCs w:val="20"/>
        </w:rPr>
        <w:t>El requisito de Wi-Fi mínimo versión 6.0 (802.11ax) en pantallas de instalación fija de pared no está justificado en los estudios previos. Wi-Fi 5 (802.11ac) dual banda cubre plenamente los casos de uso previstos —streaming 4K, videoconferencia, acceso corporativo—, y es el estándar predominante en esta categoría de equipos. La restricción a Wi-Fi 6 sin demostrar su necesidad técnica en los estudios previos constituye una limitación artificial que viola el artículo 24 de la Ley 80/1993.</w:t>
      </w:r>
    </w:p>
    <w:p w14:paraId="18BAEE48" w14:textId="77777777" w:rsidR="00BE6367" w:rsidRDefault="00C90F6A">
      <w:pPr>
        <w:spacing w:before="60" w:after="120"/>
        <w:ind w:left="200"/>
        <w:jc w:val="both"/>
        <w:rPr>
          <w:rFonts w:ascii="Arial" w:eastAsia="Arial" w:hAnsi="Arial" w:cs="Arial"/>
          <w:sz w:val="20"/>
          <w:szCs w:val="20"/>
        </w:rPr>
      </w:pPr>
      <w:r>
        <w:rPr>
          <w:rFonts w:ascii="Arial" w:eastAsia="Arial" w:hAnsi="Arial" w:cs="Arial"/>
          <w:b/>
          <w:bCs/>
          <w:color w:val="2D7D50"/>
          <w:sz w:val="20"/>
          <w:szCs w:val="20"/>
        </w:rPr>
        <w:t xml:space="preserve">Solicitud: </w:t>
      </w:r>
      <w:r>
        <w:rPr>
          <w:rFonts w:ascii="Arial" w:eastAsia="Arial" w:hAnsi="Arial" w:cs="Arial"/>
          <w:sz w:val="20"/>
          <w:szCs w:val="20"/>
        </w:rPr>
        <w:t>Se solicita ajustar a: 'Wi-Fi dual banda (2.4 GHz + 5 GHz), versión 802.11ac (Wi-Fi 5) o superior'.</w:t>
      </w:r>
    </w:p>
    <w:p w14:paraId="5653EC96" w14:textId="77777777" w:rsidR="00BE6367" w:rsidRDefault="00BE6367">
      <w:pPr>
        <w:spacing w:before="60" w:after="120"/>
        <w:ind w:left="200"/>
        <w:jc w:val="both"/>
        <w:rPr>
          <w:rFonts w:ascii="Arial" w:eastAsia="Arial" w:hAnsi="Arial" w:cs="Arial"/>
          <w:sz w:val="20"/>
          <w:szCs w:val="20"/>
        </w:rPr>
      </w:pPr>
    </w:p>
    <w:p w14:paraId="6CA82BAD"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0AA08F5A" w14:textId="77777777" w:rsidR="00BE6367" w:rsidRDefault="00C90F6A">
      <w:pPr>
        <w:spacing w:after="0"/>
        <w:jc w:val="both"/>
        <w:rPr>
          <w:rFonts w:ascii="Arial" w:eastAsia="Arial" w:hAnsi="Arial" w:cs="Arial"/>
          <w:sz w:val="20"/>
          <w:szCs w:val="20"/>
        </w:rPr>
      </w:pPr>
      <w:r>
        <w:rPr>
          <w:rFonts w:ascii="Arial" w:eastAsia="Arial" w:hAnsi="Arial" w:cs="Arial"/>
          <w:sz w:val="20"/>
          <w:szCs w:val="20"/>
        </w:rPr>
        <w:t>La Entidad acepta la observación. En aplicación del principio de libre concurrencia y selección objetiva consagrado en el artículo 5 de la Ley 1150 de 2007, y considerando que la funcionalidad requerida puede ser satisfecha por distintas tecnologías de conectividad inalámbrica, se modificará la ficha técnica para exigir “Wi-Fi de doble banda (2.4 GHz y 5 GHz) o superior”, en lugar de la referencia puntual a “Wi-Fi 6”.</w:t>
      </w:r>
    </w:p>
    <w:p w14:paraId="4CA81AC7" w14:textId="77777777" w:rsidR="00BE6367" w:rsidRDefault="00BE6367">
      <w:pPr>
        <w:spacing w:after="0"/>
        <w:jc w:val="both"/>
        <w:rPr>
          <w:rFonts w:ascii="Arial" w:eastAsia="Arial" w:hAnsi="Arial" w:cs="Arial"/>
          <w:sz w:val="20"/>
          <w:szCs w:val="20"/>
        </w:rPr>
      </w:pPr>
    </w:p>
    <w:p w14:paraId="68182F23" w14:textId="77777777" w:rsidR="00BE6367" w:rsidRDefault="00C90F6A">
      <w:pPr>
        <w:spacing w:after="0"/>
        <w:jc w:val="both"/>
        <w:rPr>
          <w:rFonts w:ascii="Arial" w:eastAsia="Arial" w:hAnsi="Arial" w:cs="Arial"/>
          <w:sz w:val="20"/>
          <w:szCs w:val="20"/>
        </w:rPr>
      </w:pPr>
      <w:r>
        <w:rPr>
          <w:rFonts w:ascii="Arial" w:eastAsia="Arial" w:hAnsi="Arial" w:cs="Arial"/>
          <w:sz w:val="20"/>
          <w:szCs w:val="20"/>
        </w:rPr>
        <w:t xml:space="preserve">Con el fin de preservar el estándar de desempeño requerido por la Entidad, el equipo ofertado deberá garantizar una conectividad estable y de alta velocidad, sin interrupciones que afecten su normal funcionamiento durante la operación del panel. </w:t>
      </w:r>
    </w:p>
    <w:p w14:paraId="02D552AC" w14:textId="77777777" w:rsidR="00BE6367" w:rsidRDefault="00BE6367">
      <w:pPr>
        <w:spacing w:after="0"/>
        <w:jc w:val="both"/>
        <w:rPr>
          <w:rFonts w:ascii="Arial" w:eastAsia="Arial" w:hAnsi="Arial" w:cs="Arial"/>
          <w:sz w:val="20"/>
          <w:szCs w:val="20"/>
        </w:rPr>
      </w:pPr>
    </w:p>
    <w:p w14:paraId="4CD134C0" w14:textId="77777777" w:rsidR="00BE6367" w:rsidRDefault="00C90F6A">
      <w:pPr>
        <w:spacing w:after="0"/>
        <w:jc w:val="both"/>
        <w:rPr>
          <w:rFonts w:ascii="Arial" w:eastAsia="Arial" w:hAnsi="Arial" w:cs="Arial"/>
          <w:b/>
          <w:bCs/>
          <w:sz w:val="20"/>
          <w:szCs w:val="20"/>
        </w:rPr>
      </w:pPr>
      <w:r>
        <w:rPr>
          <w:rFonts w:ascii="Arial" w:eastAsia="Arial" w:hAnsi="Arial" w:cs="Arial"/>
          <w:sz w:val="20"/>
          <w:szCs w:val="20"/>
        </w:rPr>
        <w:t>En consecuencia, la ficha técnica será ajustada para reflejar el nuevo requerimiento, sin que ello implique una disminución del estándar funcional exigido por la Entidad.</w:t>
      </w:r>
    </w:p>
    <w:p w14:paraId="10E1804C" w14:textId="77777777" w:rsidR="00BE6367" w:rsidRDefault="00BE6367">
      <w:pPr>
        <w:spacing w:before="60" w:after="120"/>
        <w:ind w:left="200"/>
        <w:jc w:val="both"/>
        <w:rPr>
          <w:rFonts w:ascii="Arial" w:eastAsia="Arial" w:hAnsi="Arial" w:cs="Arial"/>
          <w:b/>
          <w:bCs/>
          <w:sz w:val="20"/>
          <w:szCs w:val="20"/>
        </w:rPr>
      </w:pPr>
    </w:p>
    <w:p w14:paraId="3603A639" w14:textId="77777777" w:rsidR="00BE6367" w:rsidRDefault="00C90F6A">
      <w:pPr>
        <w:pBdr>
          <w:left w:val="single" w:sz="12" w:space="8" w:color="A8D0A8"/>
        </w:pBdr>
        <w:spacing w:before="160" w:after="40"/>
        <w:ind w:left="200"/>
        <w:jc w:val="both"/>
        <w:rPr>
          <w:rFonts w:ascii="Arial" w:eastAsia="Arial" w:hAnsi="Arial" w:cs="Arial"/>
          <w:sz w:val="20"/>
          <w:szCs w:val="20"/>
        </w:rPr>
      </w:pPr>
      <w:r>
        <w:rPr>
          <w:rFonts w:ascii="Arial" w:eastAsia="Arial" w:hAnsi="Arial" w:cs="Arial"/>
          <w:b/>
          <w:bCs/>
          <w:color w:val="1A5C3E"/>
          <w:sz w:val="20"/>
          <w:szCs w:val="20"/>
        </w:rPr>
        <w:t xml:space="preserve">ACLARACIÓN 1.4. </w:t>
      </w:r>
      <w:r>
        <w:rPr>
          <w:rFonts w:ascii="Arial" w:eastAsia="Arial" w:hAnsi="Arial" w:cs="Arial"/>
          <w:b/>
          <w:bCs/>
          <w:color w:val="000000"/>
          <w:sz w:val="20"/>
          <w:szCs w:val="20"/>
        </w:rPr>
        <w:t>Declaración del ángulo HFOV de cámara — eliminar ambigüedad en metodología de medición</w:t>
      </w:r>
    </w:p>
    <w:p w14:paraId="450C9E8A" w14:textId="77777777" w:rsidR="00BE6367" w:rsidRDefault="00C90F6A">
      <w:pPr>
        <w:spacing w:before="80" w:after="60"/>
        <w:ind w:left="200"/>
        <w:jc w:val="both"/>
        <w:rPr>
          <w:rFonts w:ascii="Arial" w:eastAsia="Arial" w:hAnsi="Arial" w:cs="Arial"/>
          <w:sz w:val="20"/>
          <w:szCs w:val="20"/>
        </w:rPr>
      </w:pPr>
      <w:r>
        <w:rPr>
          <w:rFonts w:ascii="Arial" w:eastAsia="Arial" w:hAnsi="Arial" w:cs="Arial"/>
          <w:b/>
          <w:bCs/>
          <w:color w:val="2D7D50"/>
          <w:sz w:val="20"/>
          <w:szCs w:val="20"/>
        </w:rPr>
        <w:t xml:space="preserve">Fundamento: </w:t>
      </w:r>
      <w:r>
        <w:rPr>
          <w:rFonts w:ascii="Arial" w:eastAsia="Arial" w:hAnsi="Arial" w:cs="Arial"/>
          <w:sz w:val="20"/>
          <w:szCs w:val="20"/>
        </w:rPr>
        <w:t>Principio de transparencia, Ley 80/1993, Art. 24. El pliego debe ser claro e inequívoco. Ley 1882/2018, Art. 5°.</w:t>
      </w:r>
    </w:p>
    <w:p w14:paraId="102AF911" w14:textId="77777777" w:rsidR="00BE6367" w:rsidRDefault="00C90F6A">
      <w:pPr>
        <w:spacing w:before="80" w:after="60"/>
        <w:ind w:left="200"/>
        <w:jc w:val="both"/>
        <w:rPr>
          <w:rFonts w:ascii="Arial" w:eastAsia="Arial" w:hAnsi="Arial" w:cs="Arial"/>
          <w:sz w:val="20"/>
          <w:szCs w:val="20"/>
        </w:rPr>
      </w:pPr>
      <w:r>
        <w:rPr>
          <w:rFonts w:ascii="Arial" w:eastAsia="Arial" w:hAnsi="Arial" w:cs="Arial"/>
          <w:sz w:val="20"/>
          <w:szCs w:val="20"/>
        </w:rPr>
        <w:t xml:space="preserve">El pliego exige HFOV (Horizontal Field of View) mínimo de 98° para la cámara integrada. Las fichas técnicas de cámaras en pantallas interactivas pueden declarar el FOV como HFOV, VFOV o D-FOV (diagonal), valores que son matemáticamente equivalentes y convertibles entre sí según la relación de aspecto del sensor. Si el evaluador lee el D-FOV directamente </w:t>
      </w:r>
      <w:r>
        <w:rPr>
          <w:rFonts w:ascii="Arial" w:eastAsia="Arial" w:hAnsi="Arial" w:cs="Arial"/>
          <w:sz w:val="20"/>
          <w:szCs w:val="20"/>
        </w:rPr>
        <w:lastRenderedPageBreak/>
        <w:t>como HFOV sin aplicar la conversión, podría llegar a conclusiones incorrectas de incumplimiento respecto a equipos que sí cumplen el mínimo requerido.</w:t>
      </w:r>
    </w:p>
    <w:p w14:paraId="5BA1A7FD" w14:textId="77777777" w:rsidR="00BE6367" w:rsidRDefault="00C90F6A">
      <w:pPr>
        <w:spacing w:before="80" w:after="60"/>
        <w:ind w:left="200"/>
        <w:jc w:val="both"/>
        <w:rPr>
          <w:rFonts w:ascii="Arial" w:eastAsia="Arial" w:hAnsi="Arial" w:cs="Arial"/>
          <w:sz w:val="20"/>
          <w:szCs w:val="20"/>
        </w:rPr>
      </w:pPr>
      <w:r>
        <w:rPr>
          <w:rFonts w:ascii="Arial" w:eastAsia="Arial" w:hAnsi="Arial" w:cs="Arial"/>
          <w:sz w:val="20"/>
          <w:szCs w:val="20"/>
        </w:rPr>
        <w:t>Esta ambigüedad en la metodología de evaluación viola el principio de transparencia del Art. 24 de la Ley 80/1993, que exige pliegos claros e inequívocos.</w:t>
      </w:r>
    </w:p>
    <w:p w14:paraId="63B67232" w14:textId="77777777" w:rsidR="00BE6367" w:rsidRDefault="00C90F6A">
      <w:pPr>
        <w:spacing w:before="60" w:after="120"/>
        <w:ind w:left="200"/>
        <w:jc w:val="both"/>
        <w:rPr>
          <w:rFonts w:ascii="Arial" w:eastAsia="Arial" w:hAnsi="Arial" w:cs="Arial"/>
          <w:sz w:val="20"/>
          <w:szCs w:val="20"/>
        </w:rPr>
      </w:pPr>
      <w:r>
        <w:rPr>
          <w:rFonts w:ascii="Arial" w:eastAsia="Arial" w:hAnsi="Arial" w:cs="Arial"/>
          <w:b/>
          <w:bCs/>
          <w:color w:val="2D7D50"/>
          <w:sz w:val="20"/>
          <w:szCs w:val="20"/>
        </w:rPr>
        <w:t xml:space="preserve">Solicitud de aclaración: </w:t>
      </w:r>
      <w:sdt>
        <w:sdtPr>
          <w:tag w:val="goog_rdk_2"/>
          <w:id w:val="-1042472241"/>
        </w:sdtPr>
        <w:sdtContent>
          <w:r>
            <w:rPr>
              <w:rFonts w:ascii="Arial Unicode MS" w:eastAsia="Arial Unicode MS" w:hAnsi="Arial Unicode MS" w:cs="Arial Unicode MS"/>
              <w:sz w:val="20"/>
              <w:szCs w:val="20"/>
            </w:rPr>
            <w:t>Se solicita que el pliego precise: 'El HFOV de la cámara puede declararse como HFOV, VFOV o D-FOV; para sensores 16:9, el mínimo equivalente es HFOV ≥ 98° o D-FOV ≥ 120°. El comité evaluador deberá aplicar la conversión matemática correspondiente'.</w:t>
          </w:r>
        </w:sdtContent>
      </w:sdt>
    </w:p>
    <w:p w14:paraId="6947C778" w14:textId="77777777" w:rsidR="00BE6367" w:rsidRDefault="00BE6367">
      <w:pPr>
        <w:spacing w:before="60" w:after="120"/>
        <w:ind w:left="200"/>
        <w:jc w:val="both"/>
        <w:rPr>
          <w:rFonts w:ascii="Arial" w:eastAsia="Arial" w:hAnsi="Arial" w:cs="Arial"/>
          <w:sz w:val="20"/>
          <w:szCs w:val="20"/>
        </w:rPr>
      </w:pPr>
    </w:p>
    <w:p w14:paraId="01BC4899"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2F39CEA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acepta la observación. La Entidad confirma que el ángulo de visión mínimo exigido en la ficha técnica corresponde a un HFOV (Horizontal Field of View) de 98°. No obstante, en atención a que la industria admite la declaración del ángulo de visión bajo distintas convenciones de medición (HFOV, VFOV o D-FOV), y que dichos valores guardan una relación matemática determinable en función de la relación de aspecto del sensor de la cámara, se precisa lo siguiente:</w:t>
      </w:r>
    </w:p>
    <w:p w14:paraId="57BAAC6C"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El proponente podrá declarar el ángulo de visión de la cámara en HFOV, VFOV o D-FOV, según la ficha técnica del fabricante. Cuando el valor se declare en una unidad distinta a HFOV, el proponente deberá aportar, junto con su oferta, la memoria de cálculo con la certificación del fabricante que permita establecer el HFOV equivalente, considerando la relación de aspecto del sensor de la cámara ofertada. El comité evaluador verificará dicha equivalencia con base en la documentación aportada, exigiéndose en todo caso el cumplimiento de un HFOV mínimo de 98° o su equivalente en la unidad de medida declarada.</w:t>
      </w:r>
    </w:p>
    <w:p w14:paraId="2F759975" w14:textId="77777777" w:rsidR="00BE6367" w:rsidRDefault="00C90F6A">
      <w:pPr>
        <w:pBdr>
          <w:left w:val="single" w:sz="12" w:space="8" w:color="2D7D50"/>
        </w:pBdr>
        <w:spacing w:before="160" w:after="40"/>
        <w:ind w:left="200"/>
        <w:jc w:val="both"/>
        <w:rPr>
          <w:rFonts w:ascii="Arial" w:eastAsia="Arial" w:hAnsi="Arial" w:cs="Arial"/>
          <w:sz w:val="20"/>
          <w:szCs w:val="20"/>
        </w:rPr>
      </w:pPr>
      <w:r>
        <w:rPr>
          <w:rFonts w:ascii="Arial" w:eastAsia="Arial" w:hAnsi="Arial" w:cs="Arial"/>
          <w:b/>
          <w:bCs/>
          <w:color w:val="1A5C3E"/>
          <w:sz w:val="20"/>
          <w:szCs w:val="20"/>
        </w:rPr>
        <w:t xml:space="preserve">OBSERVACIÓN 1.5. </w:t>
      </w:r>
      <w:r>
        <w:rPr>
          <w:rFonts w:ascii="Arial" w:eastAsia="Arial" w:hAnsi="Arial" w:cs="Arial"/>
          <w:b/>
          <w:bCs/>
          <w:color w:val="000000"/>
          <w:sz w:val="20"/>
          <w:szCs w:val="20"/>
        </w:rPr>
        <w:t>Brillo mínimo 350 cd/m² — ambigüedad entre valor mínimo de fabricación y valor típico de operación</w:t>
      </w:r>
    </w:p>
    <w:p w14:paraId="4D8CD866" w14:textId="77777777" w:rsidR="00BE6367" w:rsidRDefault="00C90F6A">
      <w:pPr>
        <w:spacing w:before="80" w:after="60"/>
        <w:ind w:left="200"/>
        <w:jc w:val="both"/>
        <w:rPr>
          <w:rFonts w:ascii="Arial" w:eastAsia="Arial" w:hAnsi="Arial" w:cs="Arial"/>
          <w:sz w:val="20"/>
          <w:szCs w:val="20"/>
        </w:rPr>
      </w:pPr>
      <w:r>
        <w:rPr>
          <w:rFonts w:ascii="Arial" w:eastAsia="Arial" w:hAnsi="Arial" w:cs="Arial"/>
          <w:b/>
          <w:bCs/>
          <w:color w:val="2D7D50"/>
          <w:sz w:val="20"/>
          <w:szCs w:val="20"/>
        </w:rPr>
        <w:t xml:space="preserve">Fundamento jurídico: </w:t>
      </w:r>
      <w:r>
        <w:rPr>
          <w:rFonts w:ascii="Arial" w:eastAsia="Arial" w:hAnsi="Arial" w:cs="Arial"/>
          <w:sz w:val="20"/>
          <w:szCs w:val="20"/>
        </w:rPr>
        <w:t>Principio de transparencia, Ley 80/1993, Art. 24. Ley 1882/2018, Art. 5°: la ambigüedad no puede usarse en perjuicio del proponente.</w:t>
      </w:r>
    </w:p>
    <w:p w14:paraId="2F56920E" w14:textId="77777777" w:rsidR="00BE6367" w:rsidRDefault="00C90F6A">
      <w:pPr>
        <w:spacing w:before="80" w:after="60"/>
        <w:ind w:left="200"/>
        <w:jc w:val="both"/>
        <w:rPr>
          <w:rFonts w:ascii="Arial" w:eastAsia="Arial" w:hAnsi="Arial" w:cs="Arial"/>
          <w:sz w:val="20"/>
          <w:szCs w:val="20"/>
        </w:rPr>
      </w:pPr>
      <w:r>
        <w:rPr>
          <w:rFonts w:ascii="Arial" w:eastAsia="Arial" w:hAnsi="Arial" w:cs="Arial"/>
          <w:sz w:val="20"/>
          <w:szCs w:val="20"/>
        </w:rPr>
        <w:t>El requisito 'brillo mínimo 350 cd/m²' genera ambigüedad entre el valor mínimo garantizado de ingeniería (declarado como 'mínimo' en fichas técnicas, que refleja tolerancias de producción) y el valor típico de operación (declarado como 'típico', al que opera el 95%+ de los equipos). Esta distinción es técnica y no es evidente en la redacción del pliego, lo que puede derivar en evaluaciones arbitrarias y contradictorias entre evaluadores.</w:t>
      </w:r>
    </w:p>
    <w:p w14:paraId="272DE420" w14:textId="77777777" w:rsidR="00BE6367" w:rsidRDefault="00C90F6A">
      <w:pPr>
        <w:spacing w:before="60" w:after="120"/>
        <w:ind w:left="200"/>
        <w:jc w:val="both"/>
        <w:rPr>
          <w:rFonts w:ascii="Arial" w:eastAsia="Arial" w:hAnsi="Arial" w:cs="Arial"/>
          <w:sz w:val="20"/>
          <w:szCs w:val="20"/>
        </w:rPr>
      </w:pPr>
      <w:r>
        <w:rPr>
          <w:rFonts w:ascii="Arial" w:eastAsia="Arial" w:hAnsi="Arial" w:cs="Arial"/>
          <w:b/>
          <w:bCs/>
          <w:color w:val="2D7D50"/>
          <w:sz w:val="20"/>
          <w:szCs w:val="20"/>
        </w:rPr>
        <w:t xml:space="preserve">Solicitud: </w:t>
      </w:r>
      <w:r>
        <w:rPr>
          <w:rFonts w:ascii="Arial" w:eastAsia="Arial" w:hAnsi="Arial" w:cs="Arial"/>
          <w:sz w:val="20"/>
          <w:szCs w:val="20"/>
        </w:rPr>
        <w:t>Se solicita que el pliego precise: 'Brillo típico de operación mínimo 350 cd/m², según ficha técnica oficial del fabricante'.</w:t>
      </w:r>
    </w:p>
    <w:p w14:paraId="26956C94" w14:textId="77777777" w:rsidR="00BE6367" w:rsidRDefault="00BE6367">
      <w:pPr>
        <w:spacing w:before="60" w:after="120"/>
        <w:ind w:left="200"/>
        <w:jc w:val="both"/>
        <w:rPr>
          <w:rFonts w:ascii="Arial" w:eastAsia="Arial" w:hAnsi="Arial" w:cs="Arial"/>
          <w:sz w:val="20"/>
          <w:szCs w:val="20"/>
        </w:rPr>
      </w:pPr>
    </w:p>
    <w:p w14:paraId="4D733225"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5757A11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acepta la observación. La Entidad precisa que el requisito de "brillo mínimo 350 cd/m²" establecido en la ficha técnica se entenderá satisfecho cuando el valor declarado corresponda al brillo típico de operación del equipo, conforme a la ficha técnica oficial del fabricante, en atención a que dicho valor constituye la referencia estándar de desempeño bajo condiciones normales de funcionamiento, práctica reconocida en la industria de pantallas LCD con retroiluminación D-LED.</w:t>
      </w:r>
    </w:p>
    <w:p w14:paraId="57CCB00C"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lastRenderedPageBreak/>
        <w:t>En consecuencia, el proponente deberá acreditar el cumplimiento de este requisito mediante la ficha técnica del fabricante, en la cual conste de manera expresa el valor de brillo típico de operación del equipo ofertado, el cual deberá ser igual o superior a 350 cd/m².</w:t>
      </w:r>
    </w:p>
    <w:p w14:paraId="628AA662" w14:textId="77777777" w:rsidR="00BE6367" w:rsidRDefault="00C90F6A">
      <w:pPr>
        <w:pBdr>
          <w:left w:val="single" w:sz="12" w:space="8" w:color="A8D0A8"/>
        </w:pBdr>
        <w:spacing w:before="160" w:after="40"/>
        <w:ind w:left="200"/>
        <w:jc w:val="both"/>
        <w:rPr>
          <w:rFonts w:ascii="Arial" w:eastAsia="Arial" w:hAnsi="Arial" w:cs="Arial"/>
          <w:sz w:val="20"/>
          <w:szCs w:val="20"/>
        </w:rPr>
      </w:pPr>
      <w:r>
        <w:rPr>
          <w:rFonts w:ascii="Arial" w:eastAsia="Arial" w:hAnsi="Arial" w:cs="Arial"/>
          <w:b/>
          <w:bCs/>
          <w:color w:val="1A5C3E"/>
          <w:sz w:val="20"/>
          <w:szCs w:val="20"/>
        </w:rPr>
        <w:t xml:space="preserve">ACLARACIÓN 1.6. </w:t>
      </w:r>
      <w:r>
        <w:rPr>
          <w:rFonts w:ascii="Arial" w:eastAsia="Arial" w:hAnsi="Arial" w:cs="Arial"/>
          <w:b/>
          <w:bCs/>
          <w:color w:val="000000"/>
          <w:sz w:val="20"/>
          <w:szCs w:val="20"/>
        </w:rPr>
        <w:t>Función 'Smart Framing' — aclarar que se aceptan denominaciones comerciales equivalentes</w:t>
      </w:r>
    </w:p>
    <w:p w14:paraId="7C1DD843" w14:textId="77777777" w:rsidR="00BE6367" w:rsidRDefault="00C90F6A">
      <w:pPr>
        <w:spacing w:before="80" w:after="60"/>
        <w:ind w:left="200"/>
        <w:jc w:val="both"/>
        <w:rPr>
          <w:rFonts w:ascii="Arial" w:eastAsia="Arial" w:hAnsi="Arial" w:cs="Arial"/>
          <w:sz w:val="20"/>
          <w:szCs w:val="20"/>
        </w:rPr>
      </w:pPr>
      <w:r>
        <w:rPr>
          <w:rFonts w:ascii="Arial" w:eastAsia="Arial" w:hAnsi="Arial" w:cs="Arial"/>
          <w:b/>
          <w:bCs/>
          <w:color w:val="2D7D50"/>
          <w:sz w:val="20"/>
          <w:szCs w:val="20"/>
        </w:rPr>
        <w:t xml:space="preserve">Fundamento: </w:t>
      </w:r>
      <w:r>
        <w:rPr>
          <w:rFonts w:ascii="Arial" w:eastAsia="Arial" w:hAnsi="Arial" w:cs="Arial"/>
          <w:sz w:val="20"/>
          <w:szCs w:val="20"/>
        </w:rPr>
        <w:t>Principio de transparencia y claridad del pliego, Ley 80/1993, Art. 24. Ley 1882/2018, Art. 5°.</w:t>
      </w:r>
    </w:p>
    <w:p w14:paraId="1FFE7A4D" w14:textId="77777777" w:rsidR="00BE6367" w:rsidRDefault="00C90F6A">
      <w:pPr>
        <w:spacing w:before="80" w:after="60"/>
        <w:ind w:left="200"/>
        <w:jc w:val="both"/>
        <w:rPr>
          <w:rFonts w:ascii="Arial" w:eastAsia="Arial" w:hAnsi="Arial" w:cs="Arial"/>
          <w:sz w:val="20"/>
          <w:szCs w:val="20"/>
        </w:rPr>
      </w:pPr>
      <w:r>
        <w:rPr>
          <w:rFonts w:ascii="Arial" w:eastAsia="Arial" w:hAnsi="Arial" w:cs="Arial"/>
          <w:sz w:val="20"/>
          <w:szCs w:val="20"/>
        </w:rPr>
        <w:t>El pliego exige la función de IA 'Smart Framing'. Este término es una denominación comercial registrada por un fabricante específico para describir la función de encuadre automático inteligente de personas mediante IA. Exigir una denominación comercial específica equivale a exigir un producto de marca determinada, en contravía del Art. 4° de la Ley 1150/2007.</w:t>
      </w:r>
    </w:p>
    <w:p w14:paraId="00A6AE79" w14:textId="77777777" w:rsidR="00BE6367" w:rsidRDefault="00C90F6A">
      <w:pPr>
        <w:spacing w:before="80" w:after="60"/>
        <w:ind w:left="200"/>
        <w:jc w:val="both"/>
        <w:rPr>
          <w:rFonts w:ascii="Arial" w:eastAsia="Arial" w:hAnsi="Arial" w:cs="Arial"/>
          <w:sz w:val="20"/>
          <w:szCs w:val="20"/>
        </w:rPr>
      </w:pPr>
      <w:r>
        <w:rPr>
          <w:rFonts w:ascii="Arial" w:eastAsia="Arial" w:hAnsi="Arial" w:cs="Arial"/>
          <w:sz w:val="20"/>
          <w:szCs w:val="20"/>
        </w:rPr>
        <w:t>La funcionalidad es idéntica independientemente del nombre comercial: detección automática de personas y ajuste del encuadre de la cámara mediante IA ('auto-framing', 'seguimiento automático inteligente', 'intelligent tracking', etc.).</w:t>
      </w:r>
    </w:p>
    <w:p w14:paraId="15800AE9" w14:textId="77777777" w:rsidR="00BE6367" w:rsidRDefault="00C90F6A">
      <w:pPr>
        <w:spacing w:before="60" w:after="120"/>
        <w:ind w:left="200"/>
        <w:jc w:val="both"/>
        <w:rPr>
          <w:rFonts w:ascii="Arial" w:eastAsia="Arial" w:hAnsi="Arial" w:cs="Arial"/>
          <w:sz w:val="20"/>
          <w:szCs w:val="20"/>
        </w:rPr>
      </w:pPr>
      <w:r>
        <w:rPr>
          <w:rFonts w:ascii="Arial" w:eastAsia="Arial" w:hAnsi="Arial" w:cs="Arial"/>
          <w:b/>
          <w:bCs/>
          <w:color w:val="2D7D50"/>
          <w:sz w:val="20"/>
          <w:szCs w:val="20"/>
        </w:rPr>
        <w:t xml:space="preserve">Solicitud de aclaración: </w:t>
      </w:r>
      <w:r>
        <w:rPr>
          <w:rFonts w:ascii="Arial" w:eastAsia="Arial" w:hAnsi="Arial" w:cs="Arial"/>
          <w:sz w:val="20"/>
          <w:szCs w:val="20"/>
        </w:rPr>
        <w:t>Se solicita aclarar: 'La función Smart Framing se entenderá cumplida por cualquier función de encuadre automático inteligente de personas mediante IA, independientemente de su denominación comercial, certificada por el fabricante en carta de respaldo técnico'.</w:t>
      </w:r>
    </w:p>
    <w:p w14:paraId="6C2F53E6" w14:textId="77777777" w:rsidR="00BE6367" w:rsidRDefault="00BE6367">
      <w:pPr>
        <w:spacing w:before="60" w:after="120"/>
        <w:ind w:left="200"/>
        <w:jc w:val="both"/>
        <w:rPr>
          <w:rFonts w:ascii="Arial" w:eastAsia="Arial" w:hAnsi="Arial" w:cs="Arial"/>
          <w:sz w:val="20"/>
          <w:szCs w:val="20"/>
        </w:rPr>
      </w:pPr>
    </w:p>
    <w:p w14:paraId="6EB2A04A"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55BC3789" w14:textId="77777777" w:rsidR="00BE6367" w:rsidRDefault="00BE6367">
      <w:pPr>
        <w:jc w:val="both"/>
        <w:rPr>
          <w:rFonts w:ascii="Arial" w:eastAsia="Arial" w:hAnsi="Arial" w:cs="Arial"/>
          <w:sz w:val="20"/>
          <w:szCs w:val="20"/>
        </w:rPr>
      </w:pPr>
    </w:p>
    <w:p w14:paraId="30AB57F7" w14:textId="77777777" w:rsidR="00BE6367" w:rsidRDefault="00C90F6A">
      <w:pPr>
        <w:jc w:val="both"/>
        <w:rPr>
          <w:rFonts w:ascii="Arial" w:eastAsia="Arial" w:hAnsi="Arial" w:cs="Arial"/>
          <w:sz w:val="20"/>
          <w:szCs w:val="20"/>
        </w:rPr>
      </w:pPr>
      <w:r>
        <w:rPr>
          <w:rFonts w:ascii="Arial" w:eastAsia="Arial" w:hAnsi="Arial" w:cs="Arial"/>
          <w:sz w:val="20"/>
          <w:szCs w:val="20"/>
        </w:rPr>
        <w:t>Se acepta la observación. En aplicación de los principios de libre concurrencia y selección objetiva (art. 5 Ley 1150 de 2007), la Entidad admitirá la acreditación de la funcionalidad de encuadre automático mediante inteligencia artificial bajo cualquiera de las siguientes denominaciones comerciales, siempre que el proponente demuestre que cumplen la misma finalidad funcional exigida para “Smart Framing”: Auto Framing, AI Framing, Intelligent Framing, Speaker Tracking, Presenter Tracking, o tecnologías equivalentes que el proponente acredite mediante ficha técnica del fabricante.</w:t>
      </w:r>
    </w:p>
    <w:p w14:paraId="385A665D" w14:textId="77777777" w:rsidR="00BE6367" w:rsidRDefault="00C90F6A">
      <w:pPr>
        <w:jc w:val="both"/>
        <w:rPr>
          <w:rFonts w:ascii="Arial" w:eastAsia="Arial" w:hAnsi="Arial" w:cs="Arial"/>
          <w:sz w:val="20"/>
          <w:szCs w:val="20"/>
        </w:rPr>
      </w:pPr>
      <w:r>
        <w:rPr>
          <w:rFonts w:ascii="Arial" w:eastAsia="Arial" w:hAnsi="Arial" w:cs="Arial"/>
          <w:sz w:val="20"/>
          <w:szCs w:val="20"/>
        </w:rPr>
        <w:t>La acreditación de la equivalencia funcional deberá efectuarse mediante la documentación técnica oficial del fabricante, en la que conste que la tecnología ofertada realiza el seguimiento y encuadre automático de la persona u objeto en escena, sin intervención manual del operador.</w:t>
      </w:r>
    </w:p>
    <w:p w14:paraId="7F15CA22" w14:textId="77777777" w:rsidR="00BE6367" w:rsidRDefault="00C90F6A">
      <w:pPr>
        <w:jc w:val="both"/>
        <w:rPr>
          <w:rFonts w:ascii="Arial" w:eastAsia="Arial" w:hAnsi="Arial" w:cs="Arial"/>
          <w:sz w:val="20"/>
          <w:szCs w:val="20"/>
        </w:rPr>
      </w:pPr>
      <w:r>
        <w:rPr>
          <w:rFonts w:ascii="Arial" w:eastAsia="Arial" w:hAnsi="Arial" w:cs="Arial"/>
          <w:sz w:val="20"/>
          <w:szCs w:val="20"/>
        </w:rPr>
        <w:t>En consecuencia, la ficha técnica será ajustada para reflejar que el requisito se entenderá satisfecho con cualquiera de las tecnologías anteriormente enunciadas o sus equivalentes funcionales debidamente acreditados.</w:t>
      </w:r>
    </w:p>
    <w:p w14:paraId="01F87E14" w14:textId="77777777" w:rsidR="00BE6367" w:rsidRDefault="00BE6367">
      <w:pPr>
        <w:spacing w:before="60" w:after="120"/>
        <w:ind w:left="200"/>
        <w:jc w:val="both"/>
        <w:rPr>
          <w:rFonts w:ascii="Arial" w:eastAsia="Arial" w:hAnsi="Arial" w:cs="Arial"/>
          <w:sz w:val="20"/>
          <w:szCs w:val="20"/>
        </w:rPr>
      </w:pPr>
    </w:p>
    <w:p w14:paraId="35098555" w14:textId="77777777" w:rsidR="00BE6367" w:rsidRDefault="00C90F6A">
      <w:pPr>
        <w:pBdr>
          <w:left w:val="single" w:sz="12" w:space="8" w:color="2D7D50"/>
        </w:pBdr>
        <w:spacing w:before="160" w:after="40"/>
        <w:ind w:left="200"/>
        <w:jc w:val="both"/>
        <w:rPr>
          <w:rFonts w:ascii="Arial" w:eastAsia="Arial" w:hAnsi="Arial" w:cs="Arial"/>
          <w:sz w:val="20"/>
          <w:szCs w:val="20"/>
        </w:rPr>
      </w:pPr>
      <w:r>
        <w:rPr>
          <w:rFonts w:ascii="Arial" w:eastAsia="Arial" w:hAnsi="Arial" w:cs="Arial"/>
          <w:b/>
          <w:bCs/>
          <w:color w:val="1A5C3E"/>
          <w:sz w:val="20"/>
          <w:szCs w:val="20"/>
        </w:rPr>
        <w:t xml:space="preserve">OBSERVACIÓN 1.7. </w:t>
      </w:r>
      <w:r>
        <w:rPr>
          <w:rFonts w:ascii="Arial" w:eastAsia="Arial" w:hAnsi="Arial" w:cs="Arial"/>
          <w:b/>
          <w:bCs/>
          <w:color w:val="000000"/>
          <w:sz w:val="20"/>
          <w:szCs w:val="20"/>
        </w:rPr>
        <w:t>Puertos USB-A 2.0 ×3 — exclusión de equipos superiores con USB 3.0 retrocompatible</w:t>
      </w:r>
    </w:p>
    <w:p w14:paraId="494CCCF8" w14:textId="77777777" w:rsidR="00BE6367" w:rsidRDefault="00C90F6A">
      <w:pPr>
        <w:spacing w:before="80" w:after="60"/>
        <w:ind w:left="200"/>
        <w:jc w:val="both"/>
        <w:rPr>
          <w:rFonts w:ascii="Arial" w:eastAsia="Arial" w:hAnsi="Arial" w:cs="Arial"/>
          <w:sz w:val="20"/>
          <w:szCs w:val="20"/>
        </w:rPr>
      </w:pPr>
      <w:r>
        <w:rPr>
          <w:rFonts w:ascii="Arial" w:eastAsia="Arial" w:hAnsi="Arial" w:cs="Arial"/>
          <w:b/>
          <w:bCs/>
          <w:color w:val="2D7D50"/>
          <w:sz w:val="20"/>
          <w:szCs w:val="20"/>
        </w:rPr>
        <w:t xml:space="preserve">Fundamento jurídico: </w:t>
      </w:r>
      <w:r>
        <w:rPr>
          <w:rFonts w:ascii="Arial" w:eastAsia="Arial" w:hAnsi="Arial" w:cs="Arial"/>
          <w:sz w:val="20"/>
          <w:szCs w:val="20"/>
        </w:rPr>
        <w:t>Principio de equivalencia funcional. Ley 1150/2007, Art. 5°. Consejo de Estado sobre evaluación de equivalentes funcionales.</w:t>
      </w:r>
    </w:p>
    <w:p w14:paraId="226034B1" w14:textId="77777777" w:rsidR="00BE6367" w:rsidRDefault="00C90F6A">
      <w:pPr>
        <w:spacing w:before="80" w:after="60"/>
        <w:ind w:left="200"/>
        <w:jc w:val="both"/>
        <w:rPr>
          <w:rFonts w:ascii="Arial" w:eastAsia="Arial" w:hAnsi="Arial" w:cs="Arial"/>
          <w:sz w:val="20"/>
          <w:szCs w:val="20"/>
        </w:rPr>
      </w:pPr>
      <w:r>
        <w:rPr>
          <w:rFonts w:ascii="Arial" w:eastAsia="Arial" w:hAnsi="Arial" w:cs="Arial"/>
          <w:sz w:val="20"/>
          <w:szCs w:val="20"/>
        </w:rPr>
        <w:t>USB 3.0 es retrocompatible con USB 2.0 según las especificaciones del USB Implementers Forum (USB-IF). Exigir específicamente USB 2.0 y no aceptar USB 3.0 constituye una restricción sin fundamento funcional que excluye equipos superiores, en contravía del principio de selección objetiva que busca el mayor valor para la entidad.</w:t>
      </w:r>
    </w:p>
    <w:p w14:paraId="5FD221AC" w14:textId="77777777" w:rsidR="00BE6367" w:rsidRDefault="00C90F6A">
      <w:pPr>
        <w:spacing w:before="60" w:after="120"/>
        <w:ind w:left="200"/>
        <w:jc w:val="both"/>
        <w:rPr>
          <w:rFonts w:ascii="Arial" w:eastAsia="Arial" w:hAnsi="Arial" w:cs="Arial"/>
          <w:sz w:val="20"/>
          <w:szCs w:val="20"/>
        </w:rPr>
      </w:pPr>
      <w:r>
        <w:rPr>
          <w:rFonts w:ascii="Arial" w:eastAsia="Arial" w:hAnsi="Arial" w:cs="Arial"/>
          <w:b/>
          <w:bCs/>
          <w:color w:val="2D7D50"/>
          <w:sz w:val="20"/>
          <w:szCs w:val="20"/>
        </w:rPr>
        <w:t xml:space="preserve">Solicitud: </w:t>
      </w:r>
      <w:r>
        <w:rPr>
          <w:rFonts w:ascii="Arial" w:eastAsia="Arial" w:hAnsi="Arial" w:cs="Arial"/>
          <w:sz w:val="20"/>
          <w:szCs w:val="20"/>
        </w:rPr>
        <w:t>Se solicita ajustar a: 'Mínimo 3 puertos USB-A, versión 2.0 o superior'.</w:t>
      </w:r>
    </w:p>
    <w:p w14:paraId="1B62A63E" w14:textId="77777777" w:rsidR="00BE6367" w:rsidRDefault="00BE6367">
      <w:pPr>
        <w:spacing w:before="60" w:after="120"/>
        <w:ind w:left="200"/>
        <w:jc w:val="both"/>
        <w:rPr>
          <w:rFonts w:ascii="Arial" w:eastAsia="Arial" w:hAnsi="Arial" w:cs="Arial"/>
          <w:sz w:val="20"/>
          <w:szCs w:val="20"/>
        </w:rPr>
      </w:pPr>
    </w:p>
    <w:p w14:paraId="32905B70"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67109307"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acepta la observación. En atención a que el estándar USB 3.0 (USB 3.2 Gen 1) es plenamente retrocompatible con USB 2.0 a nivel físico, eléctrico y de protocolo, conforme a las especificaciones técnicas del USB Implementers Forum (USB-IF), y a que dicha retrocompatibilidad garantiza el pleno funcionamiento de cualquier dispositivo periférico USB 2.0 en un puerto de versión superior, la Entidad ajustará la ficha técnica para exigir "mínimo 3 puertos USB-A, versión 2.0 o superior", en lugar de la referencia exclusiva a la versión 2.0.</w:t>
      </w:r>
    </w:p>
    <w:p w14:paraId="01E56E5B"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Esta modificación no implica una disminución del estándar funcional requerido por la Entidad, sino la admisión de una tecnología de mayor prestación y plenamente compatible con la exigida originalmente, en beneficio de la pluralidad de oferentes y de la actualización tecnológica del bien contratado.</w:t>
      </w:r>
    </w:p>
    <w:p w14:paraId="59C7415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ficha técnica será ajustada en los términos aquí señalados.</w:t>
      </w:r>
    </w:p>
    <w:p w14:paraId="4C23A8B6" w14:textId="77777777" w:rsidR="00BE6367" w:rsidRDefault="00BE6367">
      <w:pPr>
        <w:spacing w:before="60" w:after="120"/>
        <w:ind w:left="200"/>
        <w:jc w:val="both"/>
        <w:rPr>
          <w:rFonts w:ascii="Arial" w:eastAsia="Arial" w:hAnsi="Arial" w:cs="Arial"/>
          <w:sz w:val="20"/>
          <w:szCs w:val="20"/>
        </w:rPr>
      </w:pPr>
    </w:p>
    <w:p w14:paraId="0F0C3EBD" w14:textId="77777777" w:rsidR="00BE6367" w:rsidRDefault="00C90F6A">
      <w:pPr>
        <w:pBdr>
          <w:bottom w:val="single" w:sz="4" w:space="2" w:color="2D7D50"/>
        </w:pBdr>
        <w:spacing w:before="160" w:after="40"/>
        <w:jc w:val="both"/>
        <w:rPr>
          <w:rFonts w:ascii="Arial" w:eastAsia="Arial" w:hAnsi="Arial" w:cs="Arial"/>
          <w:sz w:val="20"/>
          <w:szCs w:val="20"/>
        </w:rPr>
      </w:pPr>
      <w:r>
        <w:rPr>
          <w:rFonts w:ascii="Arial" w:eastAsia="Arial" w:hAnsi="Arial" w:cs="Arial"/>
          <w:b/>
          <w:bCs/>
          <w:color w:val="2D7D50"/>
          <w:sz w:val="20"/>
          <w:szCs w:val="20"/>
        </w:rPr>
        <w:t>ÍTEM: PANTALLA INTERACTIVA 136" LED PLEGABLE — SIBOL 44320</w:t>
      </w:r>
    </w:p>
    <w:p w14:paraId="63CF8C5C" w14:textId="77777777" w:rsidR="00BE6367" w:rsidRDefault="00C90F6A">
      <w:pPr>
        <w:pBdr>
          <w:left w:val="single" w:sz="12" w:space="8" w:color="2D7D50"/>
        </w:pBdr>
        <w:spacing w:before="160" w:after="40"/>
        <w:ind w:left="200"/>
        <w:jc w:val="both"/>
        <w:rPr>
          <w:rFonts w:ascii="Arial" w:eastAsia="Arial" w:hAnsi="Arial" w:cs="Arial"/>
          <w:sz w:val="20"/>
          <w:szCs w:val="20"/>
        </w:rPr>
      </w:pPr>
      <w:r>
        <w:rPr>
          <w:rFonts w:ascii="Arial" w:eastAsia="Arial" w:hAnsi="Arial" w:cs="Arial"/>
          <w:b/>
          <w:bCs/>
          <w:color w:val="1A5C3E"/>
          <w:sz w:val="20"/>
          <w:szCs w:val="20"/>
        </w:rPr>
        <w:t xml:space="preserve">OBSERVACIÓN 2.1. </w:t>
      </w:r>
      <w:r>
        <w:rPr>
          <w:rFonts w:ascii="Arial" w:eastAsia="Arial" w:hAnsi="Arial" w:cs="Arial"/>
          <w:b/>
          <w:bCs/>
          <w:color w:val="000000"/>
          <w:sz w:val="20"/>
          <w:szCs w:val="20"/>
        </w:rPr>
        <w:t>Panel FLIP CHIP COB — especificación de tecnología de fabricante implícita, viola Art. 4° Ley 1150/2007</w:t>
      </w:r>
    </w:p>
    <w:p w14:paraId="2C488C00" w14:textId="77777777" w:rsidR="00BE6367" w:rsidRDefault="00C90F6A">
      <w:pPr>
        <w:spacing w:before="80" w:after="60"/>
        <w:ind w:left="200"/>
        <w:jc w:val="both"/>
        <w:rPr>
          <w:rFonts w:ascii="Arial" w:eastAsia="Arial" w:hAnsi="Arial" w:cs="Arial"/>
          <w:sz w:val="20"/>
          <w:szCs w:val="20"/>
        </w:rPr>
      </w:pPr>
      <w:r>
        <w:rPr>
          <w:rFonts w:ascii="Arial" w:eastAsia="Arial" w:hAnsi="Arial" w:cs="Arial"/>
          <w:b/>
          <w:bCs/>
          <w:color w:val="2D7D50"/>
          <w:sz w:val="20"/>
          <w:szCs w:val="20"/>
        </w:rPr>
        <w:t xml:space="preserve">Fundamento jurídico: </w:t>
      </w:r>
      <w:r>
        <w:rPr>
          <w:rFonts w:ascii="Arial" w:eastAsia="Arial" w:hAnsi="Arial" w:cs="Arial"/>
          <w:sz w:val="20"/>
          <w:szCs w:val="20"/>
        </w:rPr>
        <w:t>Ley 1150/2007, Art. 4°: prohibición de especificaciones que favorezcan a determinado fabricante. Decreto 1082/2015, Art. 2.2.1.1.1.6.1. Consejo de Estado, Sección Tercera, Sentencia 25000-23-26-000-2005-00276-01.</w:t>
      </w:r>
    </w:p>
    <w:p w14:paraId="762FA906" w14:textId="77777777" w:rsidR="00BE6367" w:rsidRDefault="00C90F6A">
      <w:pPr>
        <w:spacing w:before="80" w:after="60"/>
        <w:ind w:left="200"/>
        <w:jc w:val="both"/>
        <w:rPr>
          <w:rFonts w:ascii="Arial" w:eastAsia="Arial" w:hAnsi="Arial" w:cs="Arial"/>
          <w:sz w:val="20"/>
          <w:szCs w:val="20"/>
        </w:rPr>
      </w:pPr>
      <w:r>
        <w:rPr>
          <w:rFonts w:ascii="Arial" w:eastAsia="Arial" w:hAnsi="Arial" w:cs="Arial"/>
          <w:sz w:val="20"/>
          <w:szCs w:val="20"/>
        </w:rPr>
        <w:t>El pliego exige tecnología de panel 'FLIP CHIP COB'. Esta especificación corresponde a una tecnología de montaje de LED específica producida por un número reducido de fabricantes. SMD con recubrimiento GOB —estándar de la industria en videowalls LED plegables profesionales— ofrece protección mecánica equivalente: recubrimiento epoxi sobre los LEDs que los protege contra impacto, polvo y manipulación con niveles IP equivalentes o superiores. La especificación 'FLIP CHIP COB' sin aceptar equivalentes funcionales tiene el efecto de excluir fabricantes de primera calidad con SMD+GOB, constituyendo una restricción indebida a la competencia.</w:t>
      </w:r>
    </w:p>
    <w:p w14:paraId="1D7440E5" w14:textId="77777777" w:rsidR="00BE6367" w:rsidRDefault="00C90F6A">
      <w:pPr>
        <w:spacing w:before="60" w:after="120"/>
        <w:ind w:left="200"/>
        <w:jc w:val="both"/>
        <w:rPr>
          <w:rFonts w:ascii="Arial" w:eastAsia="Arial" w:hAnsi="Arial" w:cs="Arial"/>
          <w:sz w:val="20"/>
          <w:szCs w:val="20"/>
        </w:rPr>
      </w:pPr>
      <w:r>
        <w:rPr>
          <w:rFonts w:ascii="Arial" w:eastAsia="Arial" w:hAnsi="Arial" w:cs="Arial"/>
          <w:b/>
          <w:bCs/>
          <w:color w:val="2D7D50"/>
          <w:sz w:val="20"/>
          <w:szCs w:val="20"/>
        </w:rPr>
        <w:t xml:space="preserve">Solicitud: </w:t>
      </w:r>
      <w:r>
        <w:rPr>
          <w:rFonts w:ascii="Arial" w:eastAsia="Arial" w:hAnsi="Arial" w:cs="Arial"/>
          <w:sz w:val="20"/>
          <w:szCs w:val="20"/>
        </w:rPr>
        <w:t>Se solicita ajustar a: 'Panel LED con protección superficial integrada (GOB, COB o tecnología equivalente certificada por el fabricante que garantice protección contra impacto y polvo)'.</w:t>
      </w:r>
    </w:p>
    <w:p w14:paraId="0FEA5275" w14:textId="77777777" w:rsidR="00BE6367" w:rsidRDefault="00BE6367">
      <w:pPr>
        <w:spacing w:before="60" w:after="120"/>
        <w:ind w:left="200"/>
        <w:jc w:val="both"/>
        <w:rPr>
          <w:rFonts w:ascii="Arial" w:eastAsia="Arial" w:hAnsi="Arial" w:cs="Arial"/>
          <w:sz w:val="20"/>
          <w:szCs w:val="20"/>
        </w:rPr>
      </w:pPr>
    </w:p>
    <w:p w14:paraId="2B6A0E00"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1EA7D20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acepta la observación. La Entidad considera que la finalidad perseguida con la exigencia de tecnología "FLIP CHIP COB" es garantizar un adecuado nivel de protección del panel LED contra impacto, polvo y humedad, propio del uso itinerante y de manipulación frecuente característico de los videowalls plegables portátiles, y no la imposición de una tecnología de montaje específica. En consecuencia, se admitirá la tecnología SMD con recubrimiento GOB (Glue-on-Board), COB (Chip On Board), o cualquier otra tecnología equivalente, siempre que el proponente acredite, mediante certificación o ficha técnica del fabricante, un grado de protección IP igual o superior al exigido para garantizar la resistencia del panel frente a impacto, polvo y humedad en condiciones de uso e instalación itinerante.</w:t>
      </w:r>
    </w:p>
    <w:p w14:paraId="2730D040"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lastRenderedPageBreak/>
        <w:t>En consecuencia, la ficha técnica será ajustada para exigir "panel LED con protección superficial integrada (GOB, COB o tecnología equivalente), que garantice un grado de protección IP 40 o superior, certificado por el fabricante", en lugar de la referencia exclusiva a la tecnología "FLIP CHIP COB".</w:t>
      </w:r>
    </w:p>
    <w:p w14:paraId="16B1F734" w14:textId="77777777" w:rsidR="00BE6367" w:rsidRDefault="00C90F6A">
      <w:pPr>
        <w:pBdr>
          <w:left w:val="single" w:sz="12" w:space="8" w:color="2D7D50"/>
        </w:pBdr>
        <w:spacing w:before="160" w:after="40"/>
        <w:ind w:left="200"/>
        <w:jc w:val="both"/>
        <w:rPr>
          <w:rFonts w:ascii="Arial" w:eastAsia="Arial" w:hAnsi="Arial" w:cs="Arial"/>
          <w:sz w:val="20"/>
          <w:szCs w:val="20"/>
        </w:rPr>
      </w:pPr>
      <w:r>
        <w:rPr>
          <w:rFonts w:ascii="Arial" w:eastAsia="Arial" w:hAnsi="Arial" w:cs="Arial"/>
          <w:b/>
          <w:bCs/>
          <w:color w:val="1A5C3E"/>
          <w:sz w:val="20"/>
          <w:szCs w:val="20"/>
        </w:rPr>
        <w:t xml:space="preserve">OBSERVACIÓN 2.2. </w:t>
      </w:r>
      <w:r>
        <w:rPr>
          <w:rFonts w:ascii="Arial" w:eastAsia="Arial" w:hAnsi="Arial" w:cs="Arial"/>
          <w:b/>
          <w:bCs/>
          <w:color w:val="000000"/>
          <w:sz w:val="20"/>
          <w:szCs w:val="20"/>
        </w:rPr>
        <w:t>Requisito Wi-Fi 6 en videowall con Android 9.0 — contradicción técnica con el SO mínimo exigido</w:t>
      </w:r>
    </w:p>
    <w:p w14:paraId="44653219" w14:textId="77777777" w:rsidR="00BE6367" w:rsidRDefault="00C90F6A">
      <w:pPr>
        <w:spacing w:before="80" w:after="60"/>
        <w:ind w:left="200"/>
        <w:jc w:val="both"/>
        <w:rPr>
          <w:rFonts w:ascii="Arial" w:eastAsia="Arial" w:hAnsi="Arial" w:cs="Arial"/>
          <w:sz w:val="20"/>
          <w:szCs w:val="20"/>
        </w:rPr>
      </w:pPr>
      <w:r>
        <w:rPr>
          <w:rFonts w:ascii="Arial" w:eastAsia="Arial" w:hAnsi="Arial" w:cs="Arial"/>
          <w:b/>
          <w:bCs/>
          <w:color w:val="2D7D50"/>
          <w:sz w:val="20"/>
          <w:szCs w:val="20"/>
        </w:rPr>
        <w:t xml:space="preserve">Fundamento jurídico: </w:t>
      </w:r>
      <w:r>
        <w:rPr>
          <w:rFonts w:ascii="Arial" w:eastAsia="Arial" w:hAnsi="Arial" w:cs="Arial"/>
          <w:sz w:val="20"/>
          <w:szCs w:val="20"/>
        </w:rPr>
        <w:t>Ley 80/1993, Art. 24-5°. Principio de coherencia técnica interna del pliego. Decreto 1082/2015, Art. 2.2.1.1.1.4.1.</w:t>
      </w:r>
    </w:p>
    <w:p w14:paraId="793FC95D" w14:textId="77777777" w:rsidR="00BE6367" w:rsidRDefault="00C90F6A">
      <w:pPr>
        <w:spacing w:before="80" w:after="60"/>
        <w:ind w:left="200"/>
        <w:jc w:val="both"/>
        <w:rPr>
          <w:rFonts w:ascii="Arial" w:eastAsia="Arial" w:hAnsi="Arial" w:cs="Arial"/>
          <w:sz w:val="20"/>
          <w:szCs w:val="20"/>
        </w:rPr>
      </w:pPr>
      <w:r>
        <w:rPr>
          <w:rFonts w:ascii="Arial" w:eastAsia="Arial" w:hAnsi="Arial" w:cs="Arial"/>
          <w:sz w:val="20"/>
          <w:szCs w:val="20"/>
        </w:rPr>
        <w:t>El pliego exige simultáneamente Android 9.0 como SO mínimo del videowall (lanzado en agosto 2018) y Wi-Fi 6 (802.11ax, estándar finalizado en septiembre 2019). Los chipsets integrados en controladoras de videowalls LED con Android 9.0 son anteriores a la adopción masiva de Wi-Fi 6 y, en la práctica, soportan hasta Wi-Fi 5 (802.11ac). Esta combinación de requisitos crea una contradicción técnica interna en el pliego: se pide el SO mínimo de 2018 pero la conectividad de 2019 en adelante.</w:t>
      </w:r>
    </w:p>
    <w:p w14:paraId="1F1CDE49" w14:textId="77777777" w:rsidR="00BE6367" w:rsidRDefault="00C90F6A">
      <w:pPr>
        <w:spacing w:before="80" w:after="60"/>
        <w:ind w:left="200"/>
        <w:jc w:val="both"/>
        <w:rPr>
          <w:rFonts w:ascii="Arial" w:eastAsia="Arial" w:hAnsi="Arial" w:cs="Arial"/>
          <w:sz w:val="20"/>
          <w:szCs w:val="20"/>
        </w:rPr>
      </w:pPr>
      <w:r>
        <w:rPr>
          <w:rFonts w:ascii="Arial" w:eastAsia="Arial" w:hAnsi="Arial" w:cs="Arial"/>
          <w:sz w:val="20"/>
          <w:szCs w:val="20"/>
        </w:rPr>
        <w:t>Esta inconsistencia interna viola el principio de transparencia del Art. 24 de la Ley 80/1993 y puede ser fuente de impugnaciones al proceso. Para el uso previsto del videowall (señalización y presentaciones), Wi-Fi 5 dual banda es técnicamente suficiente.</w:t>
      </w:r>
    </w:p>
    <w:p w14:paraId="318866C5" w14:textId="77777777" w:rsidR="00BE6367" w:rsidRDefault="00C90F6A">
      <w:pPr>
        <w:spacing w:before="60" w:after="120"/>
        <w:ind w:left="200"/>
        <w:jc w:val="both"/>
        <w:rPr>
          <w:rFonts w:ascii="Arial" w:eastAsia="Arial" w:hAnsi="Arial" w:cs="Arial"/>
          <w:sz w:val="20"/>
          <w:szCs w:val="20"/>
        </w:rPr>
      </w:pPr>
      <w:r>
        <w:rPr>
          <w:rFonts w:ascii="Arial" w:eastAsia="Arial" w:hAnsi="Arial" w:cs="Arial"/>
          <w:b/>
          <w:bCs/>
          <w:color w:val="2D7D50"/>
          <w:sz w:val="20"/>
          <w:szCs w:val="20"/>
        </w:rPr>
        <w:t xml:space="preserve">Solicitud: </w:t>
      </w:r>
      <w:r>
        <w:rPr>
          <w:rFonts w:ascii="Arial" w:eastAsia="Arial" w:hAnsi="Arial" w:cs="Arial"/>
          <w:sz w:val="20"/>
          <w:szCs w:val="20"/>
        </w:rPr>
        <w:t>Se solicita ajustar a: 'Wi-Fi dual banda (2.4 GHz + 5 GHz), versión 802.11ac o superior', garantizando coherencia técnica interna del pliego.</w:t>
      </w:r>
    </w:p>
    <w:p w14:paraId="58DB5BA5" w14:textId="77777777" w:rsidR="00BE6367" w:rsidRDefault="00BE6367">
      <w:pPr>
        <w:spacing w:after="0"/>
        <w:jc w:val="both"/>
        <w:rPr>
          <w:rFonts w:ascii="Arial" w:eastAsia="Arial" w:hAnsi="Arial" w:cs="Arial"/>
          <w:b/>
          <w:bCs/>
          <w:sz w:val="20"/>
          <w:szCs w:val="20"/>
        </w:rPr>
      </w:pPr>
    </w:p>
    <w:p w14:paraId="7257BF1A" w14:textId="77777777" w:rsidR="00BE6367" w:rsidRDefault="00C90F6A">
      <w:pPr>
        <w:spacing w:after="0"/>
        <w:jc w:val="both"/>
        <w:rPr>
          <w:rFonts w:ascii="Arial" w:eastAsia="Arial" w:hAnsi="Arial" w:cs="Arial"/>
          <w:b/>
          <w:bCs/>
          <w:sz w:val="20"/>
          <w:szCs w:val="20"/>
        </w:rPr>
      </w:pPr>
      <w:r>
        <w:rPr>
          <w:rFonts w:ascii="Arial" w:eastAsia="Arial" w:hAnsi="Arial" w:cs="Arial"/>
          <w:b/>
          <w:bCs/>
          <w:sz w:val="20"/>
          <w:szCs w:val="20"/>
        </w:rPr>
        <w:t>RESPUESTA A OBSERVACIÓN</w:t>
      </w:r>
      <w:r>
        <w:rPr>
          <w:rFonts w:ascii="Arial" w:eastAsia="Arial" w:hAnsi="Arial" w:cs="Arial"/>
          <w:sz w:val="20"/>
          <w:szCs w:val="20"/>
        </w:rPr>
        <w:t>:</w:t>
      </w:r>
    </w:p>
    <w:p w14:paraId="2B4B3372" w14:textId="77777777" w:rsidR="00BE6367" w:rsidRDefault="00C90F6A">
      <w:pPr>
        <w:spacing w:after="0"/>
        <w:jc w:val="both"/>
        <w:rPr>
          <w:rFonts w:ascii="Arial" w:eastAsia="Arial" w:hAnsi="Arial" w:cs="Arial"/>
          <w:sz w:val="20"/>
          <w:szCs w:val="20"/>
        </w:rPr>
      </w:pPr>
      <w:r>
        <w:rPr>
          <w:rFonts w:ascii="Arial" w:eastAsia="Arial" w:hAnsi="Arial" w:cs="Arial"/>
          <w:sz w:val="20"/>
          <w:szCs w:val="20"/>
        </w:rPr>
        <w:t>La Entidad acepta la observación. En aplicación del principio de libre concurrencia y selección objetiva consagrado en el artículo 5 de la Ley 1150 de 2007, y considerando que la funcionalidad requerida puede ser satisfecha por distintas tecnologías de conectividad inalámbrica, se modificará la ficha técnica para exigir “Wi-Fi de doble banda (2.4 GHz y 5 GHz) o superior”, en lugar de la referencia puntual a “Wi-Fi 6”.</w:t>
      </w:r>
    </w:p>
    <w:p w14:paraId="7F015E92" w14:textId="77777777" w:rsidR="00BE6367" w:rsidRDefault="00BE6367">
      <w:pPr>
        <w:spacing w:after="0"/>
        <w:jc w:val="both"/>
        <w:rPr>
          <w:rFonts w:ascii="Arial" w:eastAsia="Arial" w:hAnsi="Arial" w:cs="Arial"/>
          <w:sz w:val="20"/>
          <w:szCs w:val="20"/>
        </w:rPr>
      </w:pPr>
    </w:p>
    <w:p w14:paraId="72961626" w14:textId="77777777" w:rsidR="00BE6367" w:rsidRDefault="00C90F6A">
      <w:pPr>
        <w:spacing w:after="0"/>
        <w:jc w:val="both"/>
        <w:rPr>
          <w:rFonts w:ascii="Arial" w:eastAsia="Arial" w:hAnsi="Arial" w:cs="Arial"/>
          <w:sz w:val="20"/>
          <w:szCs w:val="20"/>
        </w:rPr>
      </w:pPr>
      <w:r>
        <w:rPr>
          <w:rFonts w:ascii="Arial" w:eastAsia="Arial" w:hAnsi="Arial" w:cs="Arial"/>
          <w:sz w:val="20"/>
          <w:szCs w:val="20"/>
        </w:rPr>
        <w:t xml:space="preserve">Con el fin de preservar el estándar de desempeño requerido por la Entidad, el equipo ofertado deberá garantizar una conectividad estable y de alta velocidad, sin interrupciones que afecten su normal funcionamiento durante la operación del panel. </w:t>
      </w:r>
    </w:p>
    <w:p w14:paraId="02DCAD9D" w14:textId="77777777" w:rsidR="00BE6367" w:rsidRDefault="00BE6367">
      <w:pPr>
        <w:spacing w:after="0"/>
        <w:jc w:val="both"/>
        <w:rPr>
          <w:rFonts w:ascii="Arial" w:eastAsia="Arial" w:hAnsi="Arial" w:cs="Arial"/>
          <w:sz w:val="20"/>
          <w:szCs w:val="20"/>
        </w:rPr>
      </w:pPr>
    </w:p>
    <w:p w14:paraId="66FD129C" w14:textId="77777777" w:rsidR="00BE6367" w:rsidRDefault="00C90F6A">
      <w:pPr>
        <w:spacing w:after="0"/>
        <w:jc w:val="both"/>
        <w:rPr>
          <w:rFonts w:ascii="Arial" w:eastAsia="Arial" w:hAnsi="Arial" w:cs="Arial"/>
          <w:b/>
          <w:bCs/>
          <w:sz w:val="20"/>
          <w:szCs w:val="20"/>
        </w:rPr>
      </w:pPr>
      <w:r>
        <w:rPr>
          <w:rFonts w:ascii="Arial" w:eastAsia="Arial" w:hAnsi="Arial" w:cs="Arial"/>
          <w:sz w:val="20"/>
          <w:szCs w:val="20"/>
        </w:rPr>
        <w:t>En consecuencia, la ficha técnica será ajustada para reflejar el nuevo requerimiento, sin que ello implique una disminución del estándar funcional exigido por la Entidad.</w:t>
      </w:r>
    </w:p>
    <w:p w14:paraId="15BFDBD2" w14:textId="77777777" w:rsidR="00BE6367" w:rsidRDefault="00C90F6A">
      <w:pPr>
        <w:pBdr>
          <w:left w:val="single" w:sz="12" w:space="8" w:color="2D7D50"/>
        </w:pBdr>
        <w:spacing w:before="160" w:after="40"/>
        <w:ind w:left="200"/>
        <w:jc w:val="both"/>
        <w:rPr>
          <w:rFonts w:ascii="Arial" w:eastAsia="Arial" w:hAnsi="Arial" w:cs="Arial"/>
          <w:sz w:val="20"/>
          <w:szCs w:val="20"/>
        </w:rPr>
      </w:pPr>
      <w:r>
        <w:rPr>
          <w:rFonts w:ascii="Arial" w:eastAsia="Arial" w:hAnsi="Arial" w:cs="Arial"/>
          <w:b/>
          <w:bCs/>
          <w:color w:val="1A5C3E"/>
          <w:sz w:val="20"/>
          <w:szCs w:val="20"/>
        </w:rPr>
        <w:t xml:space="preserve">OBSERVACIÓN 2.3. </w:t>
      </w:r>
      <w:r>
        <w:rPr>
          <w:rFonts w:ascii="Arial" w:eastAsia="Arial" w:hAnsi="Arial" w:cs="Arial"/>
          <w:b/>
          <w:bCs/>
          <w:color w:val="000000"/>
          <w:sz w:val="20"/>
          <w:szCs w:val="20"/>
        </w:rPr>
        <w:t>Requisito Bluetooth 5.0 en videowall con Android 9.0 — inconsistencia técnica interna del pliego</w:t>
      </w:r>
    </w:p>
    <w:p w14:paraId="7C60B60A" w14:textId="77777777" w:rsidR="00BE6367" w:rsidRDefault="00C90F6A">
      <w:pPr>
        <w:spacing w:before="80" w:after="60"/>
        <w:ind w:left="200"/>
        <w:jc w:val="both"/>
        <w:rPr>
          <w:rFonts w:ascii="Arial" w:eastAsia="Arial" w:hAnsi="Arial" w:cs="Arial"/>
          <w:sz w:val="20"/>
          <w:szCs w:val="20"/>
        </w:rPr>
      </w:pPr>
      <w:r>
        <w:rPr>
          <w:rFonts w:ascii="Arial" w:eastAsia="Arial" w:hAnsi="Arial" w:cs="Arial"/>
          <w:b/>
          <w:bCs/>
          <w:color w:val="2D7D50"/>
          <w:sz w:val="20"/>
          <w:szCs w:val="20"/>
        </w:rPr>
        <w:t xml:space="preserve">Fundamento jurídico: </w:t>
      </w:r>
      <w:r>
        <w:rPr>
          <w:rFonts w:ascii="Arial" w:eastAsia="Arial" w:hAnsi="Arial" w:cs="Arial"/>
          <w:sz w:val="20"/>
          <w:szCs w:val="20"/>
        </w:rPr>
        <w:t>Ley 80/1993, Art. 24. Principio de transparencia y coherencia interna del pliego. Decreto 1082/2015.</w:t>
      </w:r>
    </w:p>
    <w:p w14:paraId="2534AB06" w14:textId="77777777" w:rsidR="00BE6367" w:rsidRDefault="00C90F6A">
      <w:pPr>
        <w:spacing w:before="80" w:after="60"/>
        <w:ind w:left="200"/>
        <w:jc w:val="both"/>
        <w:rPr>
          <w:rFonts w:ascii="Arial" w:eastAsia="Arial" w:hAnsi="Arial" w:cs="Arial"/>
          <w:sz w:val="20"/>
          <w:szCs w:val="20"/>
        </w:rPr>
      </w:pPr>
      <w:r>
        <w:rPr>
          <w:rFonts w:ascii="Arial" w:eastAsia="Arial" w:hAnsi="Arial" w:cs="Arial"/>
          <w:sz w:val="20"/>
          <w:szCs w:val="20"/>
        </w:rPr>
        <w:t>Android 9.0 es compatible por diseño con Bluetooth 4.2 como versión predominante de la plataforma. Exigir Bluetooth 5.0 en el mismo equipo al que se exige Android 9.0 como SO mínimo puede crear una inconsistencia técnica: los chipsets habituales integrados en controladoras de videowalls con Android 9.0 no siempre incluyen BT 5.0. Para el uso previsto del videowall —señalización y presentaciones— no existe un caso de uso documentado en los estudios previos que requiera específicamente BT 5.0 sobre BT 4.2.</w:t>
      </w:r>
    </w:p>
    <w:p w14:paraId="7091D5BA" w14:textId="77777777" w:rsidR="00BE6367" w:rsidRDefault="00C90F6A">
      <w:pPr>
        <w:spacing w:before="80" w:after="60"/>
        <w:ind w:left="200"/>
        <w:jc w:val="both"/>
        <w:rPr>
          <w:rFonts w:ascii="Arial" w:eastAsia="Arial" w:hAnsi="Arial" w:cs="Arial"/>
          <w:sz w:val="20"/>
          <w:szCs w:val="20"/>
        </w:rPr>
      </w:pPr>
      <w:r>
        <w:rPr>
          <w:rFonts w:ascii="Arial" w:eastAsia="Arial" w:hAnsi="Arial" w:cs="Arial"/>
          <w:sz w:val="20"/>
          <w:szCs w:val="20"/>
        </w:rPr>
        <w:t>Esta inconsistencia interna entre requisitos puede derivar en evaluaciones contradictorias y en impugnaciones al proceso de selección.</w:t>
      </w:r>
    </w:p>
    <w:p w14:paraId="25C12487" w14:textId="77777777" w:rsidR="00BE6367" w:rsidRDefault="00C90F6A">
      <w:pPr>
        <w:spacing w:before="60" w:after="120"/>
        <w:ind w:left="200"/>
        <w:jc w:val="both"/>
        <w:rPr>
          <w:rFonts w:ascii="Arial" w:eastAsia="Arial" w:hAnsi="Arial" w:cs="Arial"/>
          <w:sz w:val="20"/>
          <w:szCs w:val="20"/>
        </w:rPr>
      </w:pPr>
      <w:r>
        <w:rPr>
          <w:rFonts w:ascii="Arial" w:eastAsia="Arial" w:hAnsi="Arial" w:cs="Arial"/>
          <w:b/>
          <w:bCs/>
          <w:color w:val="2D7D50"/>
          <w:sz w:val="20"/>
          <w:szCs w:val="20"/>
        </w:rPr>
        <w:t xml:space="preserve">Solicitud: </w:t>
      </w:r>
      <w:r>
        <w:rPr>
          <w:rFonts w:ascii="Arial" w:eastAsia="Arial" w:hAnsi="Arial" w:cs="Arial"/>
          <w:sz w:val="20"/>
          <w:szCs w:val="20"/>
        </w:rPr>
        <w:t>Se solicita ajustar a: 'Conectividad Bluetooth versión 4.2 o superior', garantizando coherencia técnica con el SO mínimo exigido y con el uso previsto del bien.</w:t>
      </w:r>
    </w:p>
    <w:p w14:paraId="7DA30E81"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lastRenderedPageBreak/>
        <w:t>RESPUESTA A OBSERVACIÓN:</w:t>
      </w:r>
    </w:p>
    <w:p w14:paraId="7370654B"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acepta la observación. En atención a que las controladoras de videowalls LED que operan sobre la plataforma Android 9.0 incorporan de manera estándar chipsets con Bluetooth versión 4.2, y considerando que dicha versión ofrece capacidades de emparejamiento estables y funcionales, acordes con el uso previsto del videowall como equipo de señalización —que no demanda conexión simultánea de múltiples dispositivos Bluetooth—, la Entidad ajustará la ficha técnica para exigir "conectividad Bluetooth versión 4.2 o superior", en lugar de la referencia exclusiva a la versión 5.0.</w:t>
      </w:r>
    </w:p>
    <w:p w14:paraId="39EAE6F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Esta modificación no implica una disminución del estándar funcional exigido por la Entidad, sino la admisión de una versión de protocolo plenamente adecuada al uso previsto del equipo, en aplicación de los principios de libre concurrencia y selección objetiva (art. 5 Ley 1150 de 2007).</w:t>
      </w:r>
    </w:p>
    <w:p w14:paraId="03AB1076"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ficha técnica será ajustada en los términos aquí señalados.</w:t>
      </w:r>
    </w:p>
    <w:p w14:paraId="54A32EF8" w14:textId="77777777" w:rsidR="00BE6367" w:rsidRDefault="00BE6367">
      <w:pPr>
        <w:spacing w:before="60" w:after="120"/>
        <w:ind w:left="200"/>
        <w:jc w:val="both"/>
        <w:rPr>
          <w:rFonts w:ascii="Arial" w:eastAsia="Arial" w:hAnsi="Arial" w:cs="Arial"/>
          <w:sz w:val="20"/>
          <w:szCs w:val="20"/>
        </w:rPr>
      </w:pPr>
    </w:p>
    <w:p w14:paraId="134DD177" w14:textId="77777777" w:rsidR="00BE6367" w:rsidRDefault="00C90F6A">
      <w:pPr>
        <w:pBdr>
          <w:left w:val="single" w:sz="12" w:space="8" w:color="2D7D50"/>
        </w:pBdr>
        <w:spacing w:before="160" w:after="40"/>
        <w:ind w:left="200"/>
        <w:jc w:val="both"/>
        <w:rPr>
          <w:rFonts w:ascii="Arial" w:eastAsia="Arial" w:hAnsi="Arial" w:cs="Arial"/>
          <w:sz w:val="20"/>
          <w:szCs w:val="20"/>
        </w:rPr>
      </w:pPr>
      <w:r>
        <w:rPr>
          <w:rFonts w:ascii="Arial" w:eastAsia="Arial" w:hAnsi="Arial" w:cs="Arial"/>
          <w:b/>
          <w:bCs/>
          <w:color w:val="1A5C3E"/>
          <w:sz w:val="20"/>
          <w:szCs w:val="20"/>
        </w:rPr>
        <w:t xml:space="preserve">OBSERVACIÓN 2.4. </w:t>
      </w:r>
      <w:r>
        <w:rPr>
          <w:rFonts w:ascii="Arial" w:eastAsia="Arial" w:hAnsi="Arial" w:cs="Arial"/>
          <w:b/>
          <w:bCs/>
          <w:color w:val="000000"/>
          <w:sz w:val="20"/>
          <w:szCs w:val="20"/>
        </w:rPr>
        <w:t>Puertos HDMI OUT, RS232 y SPDIF — requisitos sin sustento en estudios previos para este tipo de bien</w:t>
      </w:r>
    </w:p>
    <w:p w14:paraId="2B696EE4" w14:textId="77777777" w:rsidR="00BE6367" w:rsidRDefault="00C90F6A">
      <w:pPr>
        <w:spacing w:before="80" w:after="60"/>
        <w:ind w:left="200"/>
        <w:jc w:val="both"/>
        <w:rPr>
          <w:rFonts w:ascii="Arial" w:eastAsia="Arial" w:hAnsi="Arial" w:cs="Arial"/>
          <w:sz w:val="20"/>
          <w:szCs w:val="20"/>
        </w:rPr>
      </w:pPr>
      <w:r>
        <w:rPr>
          <w:rFonts w:ascii="Arial" w:eastAsia="Arial" w:hAnsi="Arial" w:cs="Arial"/>
          <w:b/>
          <w:bCs/>
          <w:color w:val="2D7D50"/>
          <w:sz w:val="20"/>
          <w:szCs w:val="20"/>
        </w:rPr>
        <w:t xml:space="preserve">Fundamento jurídico: </w:t>
      </w:r>
      <w:r>
        <w:rPr>
          <w:rFonts w:ascii="Arial" w:eastAsia="Arial" w:hAnsi="Arial" w:cs="Arial"/>
          <w:sz w:val="20"/>
          <w:szCs w:val="20"/>
        </w:rPr>
        <w:t>Principio de planeación, Art. 25-12 Ley 80/1993. Art. 2.2.1.1.1.4.1 Decreto 1082/2015: los pliegos deben corresponder a la necesidad real.</w:t>
      </w:r>
    </w:p>
    <w:p w14:paraId="06CFDE33" w14:textId="77777777" w:rsidR="00BE6367" w:rsidRDefault="00C90F6A">
      <w:pPr>
        <w:spacing w:before="80" w:after="60"/>
        <w:ind w:left="200"/>
        <w:jc w:val="both"/>
        <w:rPr>
          <w:rFonts w:ascii="Arial" w:eastAsia="Arial" w:hAnsi="Arial" w:cs="Arial"/>
          <w:sz w:val="20"/>
          <w:szCs w:val="20"/>
        </w:rPr>
      </w:pPr>
      <w:r>
        <w:rPr>
          <w:rFonts w:ascii="Arial" w:eastAsia="Arial" w:hAnsi="Arial" w:cs="Arial"/>
          <w:sz w:val="20"/>
          <w:szCs w:val="20"/>
        </w:rPr>
        <w:t>La inclusión de HDMI OUT, RS232 y SPDIF en un videowall LED plegable portátil carece de justificación en los estudios previos: (a) HDMI OUT no tiene función en un display primario portátil; (b) RS232 es protocolo de control AV para salas fijas, incompatible con la naturaleza portátil del equipo; (c) SPDIF es innecesario con salida analógica disponible. Estos tres requisitos, sin respaldo en estudios previos, constituyen planeación deficiente y restricción artificial que vulnera el Art. 25-12 de la Ley 80/1993.</w:t>
      </w:r>
    </w:p>
    <w:p w14:paraId="6F8BF4EF" w14:textId="77777777" w:rsidR="00BE6367" w:rsidRDefault="00C90F6A">
      <w:pPr>
        <w:spacing w:before="60" w:after="120"/>
        <w:ind w:left="200"/>
        <w:jc w:val="both"/>
        <w:rPr>
          <w:rFonts w:ascii="Arial" w:eastAsia="Arial" w:hAnsi="Arial" w:cs="Arial"/>
          <w:sz w:val="20"/>
          <w:szCs w:val="20"/>
        </w:rPr>
      </w:pPr>
      <w:r>
        <w:rPr>
          <w:rFonts w:ascii="Arial" w:eastAsia="Arial" w:hAnsi="Arial" w:cs="Arial"/>
          <w:b/>
          <w:bCs/>
          <w:color w:val="2D7D50"/>
          <w:sz w:val="20"/>
          <w:szCs w:val="20"/>
        </w:rPr>
        <w:t xml:space="preserve">Solicitud: </w:t>
      </w:r>
      <w:r>
        <w:rPr>
          <w:rFonts w:ascii="Arial" w:eastAsia="Arial" w:hAnsi="Arial" w:cs="Arial"/>
          <w:sz w:val="20"/>
          <w:szCs w:val="20"/>
        </w:rPr>
        <w:t>Se solicita eliminar los requisitos de HDMI OUT, RS232 y SPDIF, o indicar que aplican 'cuando la tecnología del equipo lo permita, sin constituir requisito eliminatorio'.</w:t>
      </w:r>
    </w:p>
    <w:p w14:paraId="67406DAE" w14:textId="77777777" w:rsidR="00BE6367" w:rsidRDefault="00BE6367">
      <w:pPr>
        <w:spacing w:before="60" w:after="120"/>
        <w:ind w:left="200"/>
        <w:jc w:val="both"/>
        <w:rPr>
          <w:rFonts w:ascii="Arial" w:eastAsia="Arial" w:hAnsi="Arial" w:cs="Arial"/>
          <w:sz w:val="20"/>
          <w:szCs w:val="20"/>
        </w:rPr>
      </w:pPr>
    </w:p>
    <w:p w14:paraId="2DBCABF7" w14:textId="77777777" w:rsidR="00BE6367" w:rsidRDefault="00C90F6A">
      <w:pPr>
        <w:spacing w:after="0"/>
        <w:jc w:val="both"/>
        <w:rPr>
          <w:rFonts w:ascii="Arial" w:eastAsia="Arial" w:hAnsi="Arial" w:cs="Arial"/>
          <w:b/>
          <w:bCs/>
          <w:sz w:val="20"/>
          <w:szCs w:val="20"/>
        </w:rPr>
      </w:pPr>
      <w:r>
        <w:rPr>
          <w:rFonts w:ascii="Arial" w:eastAsia="Arial" w:hAnsi="Arial" w:cs="Arial"/>
          <w:b/>
          <w:bCs/>
          <w:sz w:val="20"/>
          <w:szCs w:val="20"/>
        </w:rPr>
        <w:t>RESPUESTA A OBSERVACIÓN:</w:t>
      </w:r>
    </w:p>
    <w:p w14:paraId="3A1DF0F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(a) HDMI OUT: No se acepta la observación. La Entidad mantiene el requisito de 1 puerto HDMI OUT, por cuanto dicha salida responde a una necesidad funcional identificada por la Entidad en la etapa de planeación del proceso, conforme a los estudios previos que sustentan la presente contratación.</w:t>
      </w:r>
    </w:p>
    <w:p w14:paraId="29B1B2C2"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(b) RS232: Se acepta parcialmente la observación, en los mismos términos ya definidos por la Entidad frente a esta misma interfaz para el presente proceso. No se accede a la eliminación total del requerimiento de puerto RS232. No obstante, se admite que este requisito se cumpla mediante un adaptador o convertidor externo conectado a los puertos HDMI o USB del equipo, siempre que dicho adaptador sea suministrado junto con el equipo, forme parte integral de la solución ofertada y garantice la plena funcionalidad, estabilidad y compatibilidad exigidas para los fines previstos por la Entidad.</w:t>
      </w:r>
    </w:p>
    <w:p w14:paraId="2123887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 xml:space="preserve">(c) SPDIF: Se acepta parcialmente la observación. La Entidad mantiene el requisito de 1 puerto SPDIF, por cuanto dicha interfaz responde a una necesidad funcional relacionada con los sistemas de audio, funcionalidad que no resulta plenamente equivalente a la ofrecida por la salida de audio analógica 3.5 mm referida por el observante. En todo caso, y en coherencia con lo ya definido por la Entidad para esta misma interfaz, se admite que el requisito se cumpla </w:t>
      </w:r>
      <w:r>
        <w:rPr>
          <w:rFonts w:ascii="Arial" w:eastAsia="Arial" w:hAnsi="Arial" w:cs="Arial"/>
          <w:sz w:val="20"/>
          <w:szCs w:val="20"/>
        </w:rPr>
        <w:lastRenderedPageBreak/>
        <w:t>mediante adaptador o convertidor externo conectado a los puertos HDMI o USB del equipo, en los términos y condiciones ya señalados.</w:t>
      </w:r>
    </w:p>
    <w:p w14:paraId="6B36AB0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ficha técnica será ajustada para reflejar que los requisitos de RS232 y SPDIF podrán cumplirse de manera nativa en el equipo o mediante adaptadores externos incluidos en la entrega, sin que ello modifique el estándar funcional exigido por la Entidad, manteniéndose así el criterio unificado adoptado para esta interfaz en el conjunto del pliego.</w:t>
      </w:r>
    </w:p>
    <w:p w14:paraId="2B4BD9B3" w14:textId="77777777" w:rsidR="00BE6367" w:rsidRDefault="00C90F6A">
      <w:pPr>
        <w:pBdr>
          <w:left w:val="single" w:sz="12" w:space="8" w:color="2D7D50"/>
        </w:pBdr>
        <w:spacing w:before="160" w:after="40"/>
        <w:ind w:left="200"/>
        <w:jc w:val="both"/>
        <w:rPr>
          <w:rFonts w:ascii="Arial" w:eastAsia="Arial" w:hAnsi="Arial" w:cs="Arial"/>
          <w:sz w:val="20"/>
          <w:szCs w:val="20"/>
        </w:rPr>
      </w:pPr>
      <w:r>
        <w:rPr>
          <w:rFonts w:ascii="Arial" w:eastAsia="Arial" w:hAnsi="Arial" w:cs="Arial"/>
          <w:b/>
          <w:bCs/>
          <w:color w:val="1A5C3E"/>
          <w:sz w:val="20"/>
          <w:szCs w:val="20"/>
        </w:rPr>
        <w:t xml:space="preserve">OBSERVACIÓN 2.5. </w:t>
      </w:r>
      <w:r>
        <w:rPr>
          <w:rFonts w:ascii="Arial" w:eastAsia="Arial" w:hAnsi="Arial" w:cs="Arial"/>
          <w:b/>
          <w:bCs/>
          <w:color w:val="000000"/>
          <w:sz w:val="20"/>
          <w:szCs w:val="20"/>
        </w:rPr>
        <w:t>RJ45 obligatorio en videowall portátil — contradicción con la naturaleza del bien descrito</w:t>
      </w:r>
    </w:p>
    <w:p w14:paraId="17EB7DAC" w14:textId="77777777" w:rsidR="00BE6367" w:rsidRDefault="00C90F6A">
      <w:pPr>
        <w:spacing w:before="80" w:after="60"/>
        <w:ind w:left="200"/>
        <w:jc w:val="both"/>
        <w:rPr>
          <w:rFonts w:ascii="Arial" w:eastAsia="Arial" w:hAnsi="Arial" w:cs="Arial"/>
          <w:sz w:val="20"/>
          <w:szCs w:val="20"/>
        </w:rPr>
      </w:pPr>
      <w:r>
        <w:rPr>
          <w:rFonts w:ascii="Arial" w:eastAsia="Arial" w:hAnsi="Arial" w:cs="Arial"/>
          <w:b/>
          <w:bCs/>
          <w:color w:val="2D7D50"/>
          <w:sz w:val="20"/>
          <w:szCs w:val="20"/>
        </w:rPr>
        <w:t xml:space="preserve">Fundamento jurídico: </w:t>
      </w:r>
      <w:r>
        <w:rPr>
          <w:rFonts w:ascii="Arial" w:eastAsia="Arial" w:hAnsi="Arial" w:cs="Arial"/>
          <w:sz w:val="20"/>
          <w:szCs w:val="20"/>
        </w:rPr>
        <w:t>Principio de planeación, Art. 25-12 Ley 80/1993. Principio de coherencia interna del pliego.</w:t>
      </w:r>
    </w:p>
    <w:p w14:paraId="4040FA90" w14:textId="77777777" w:rsidR="00BE6367" w:rsidRDefault="00C90F6A">
      <w:pPr>
        <w:spacing w:before="80" w:after="60"/>
        <w:ind w:left="200"/>
        <w:jc w:val="both"/>
        <w:rPr>
          <w:rFonts w:ascii="Arial" w:eastAsia="Arial" w:hAnsi="Arial" w:cs="Arial"/>
          <w:sz w:val="20"/>
          <w:szCs w:val="20"/>
        </w:rPr>
      </w:pPr>
      <w:r>
        <w:rPr>
          <w:rFonts w:ascii="Arial" w:eastAsia="Arial" w:hAnsi="Arial" w:cs="Arial"/>
          <w:sz w:val="20"/>
          <w:szCs w:val="20"/>
        </w:rPr>
        <w:t>El objeto descrito es un 'videowall LED PLEGABLE' —definición que implica portabilidad y despliegue flexible—. Exigir RJ45 obligatorio en un equipo portátil contradice su naturaleza funcional. La conectividad de red en videowalls portátiles se provee mediante Wi-Fi dual banda, que es funcional y suficiente para el uso previsto. Esta contradicción interna puede generar impugnaciones al proceso.</w:t>
      </w:r>
    </w:p>
    <w:p w14:paraId="17D9404E" w14:textId="77777777" w:rsidR="00BE6367" w:rsidRDefault="00C90F6A">
      <w:pPr>
        <w:spacing w:before="60" w:after="120"/>
        <w:ind w:left="200"/>
        <w:jc w:val="both"/>
        <w:rPr>
          <w:rFonts w:ascii="Arial" w:eastAsia="Arial" w:hAnsi="Arial" w:cs="Arial"/>
          <w:sz w:val="20"/>
          <w:szCs w:val="20"/>
        </w:rPr>
      </w:pPr>
      <w:r>
        <w:rPr>
          <w:rFonts w:ascii="Arial" w:eastAsia="Arial" w:hAnsi="Arial" w:cs="Arial"/>
          <w:b/>
          <w:bCs/>
          <w:color w:val="2D7D50"/>
          <w:sz w:val="20"/>
          <w:szCs w:val="20"/>
        </w:rPr>
        <w:t xml:space="preserve">Solicitud: </w:t>
      </w:r>
      <w:r>
        <w:rPr>
          <w:rFonts w:ascii="Arial" w:eastAsia="Arial" w:hAnsi="Arial" w:cs="Arial"/>
          <w:sz w:val="20"/>
          <w:szCs w:val="20"/>
        </w:rPr>
        <w:t>Se solicita que el pliego especifique: 'Conectividad de red mediante Wi-Fi dual banda o Puerto RJ45 Ethernet, siendo obligatoria al menos una de las dos opciones'.</w:t>
      </w:r>
    </w:p>
    <w:p w14:paraId="0484A996"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706A8A46"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se acepta la observación. La Entidad mantiene el requisito de 1 puerto RJ45 en el videowall LED plegable, el cual se exige de manera</w:t>
      </w:r>
      <w:r>
        <w:rPr>
          <w:rFonts w:ascii="Arial" w:eastAsia="Arial" w:hAnsi="Arial" w:cs="Arial"/>
          <w:b/>
          <w:bCs/>
          <w:sz w:val="20"/>
          <w:szCs w:val="20"/>
        </w:rPr>
        <w:t xml:space="preserve"> </w:t>
      </w:r>
      <w:r>
        <w:rPr>
          <w:rFonts w:ascii="Arial" w:eastAsia="Arial" w:hAnsi="Arial" w:cs="Arial"/>
          <w:sz w:val="20"/>
          <w:szCs w:val="20"/>
        </w:rPr>
        <w:t>adicional y no sustitutiva a la conectividad Wi-Fi de doble banda ya prevista en la ficha técnica del equipo. Lo anterior, por cuanto la disponibilidad simultánea de ambas alternativas de conectividad cableada e inalámbrica responde a la necesidad de garantizar la instalación y operación del equipo en entornos diversos, incluyendo espacios en los que la conectividad inalámbrica pueda verse limitada por razones de infraestructura, políticas de seguridad de red institucional, interferencia u otras condiciones propias del lugar de despliegue.</w:t>
      </w:r>
    </w:p>
    <w:p w14:paraId="424794C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este sentido, la naturaleza portátil y plegable del equipo no resulta incompatible con la incorporación de un puerto RJ45, el cual constituye una funcionalidad complementaria orientada a maximizar la versatilidad de conexión del equipo, sin que ello afecte su condición de equipo de despliegue flexible, dado que la conectividad Wi-Fi de doble banda permanece disponible como alternativa principal para los escenarios que así lo permitan.</w:t>
      </w:r>
    </w:p>
    <w:p w14:paraId="4F230E6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se mantiene el requisito de 1 puerto RJ45 en los términos definidos en la ficha técnica, sin perjuicio de la conectividad Wi-Fi ya prevista para este mismo ítem.</w:t>
      </w:r>
    </w:p>
    <w:p w14:paraId="0EED42AB" w14:textId="77777777" w:rsidR="00BE6367" w:rsidRDefault="00C90F6A">
      <w:pPr>
        <w:pBdr>
          <w:left w:val="single" w:sz="12" w:space="8" w:color="2D7D50"/>
        </w:pBdr>
        <w:spacing w:before="160" w:after="40"/>
        <w:ind w:left="200"/>
        <w:jc w:val="both"/>
        <w:rPr>
          <w:rFonts w:ascii="Arial" w:eastAsia="Arial" w:hAnsi="Arial" w:cs="Arial"/>
          <w:sz w:val="20"/>
          <w:szCs w:val="20"/>
        </w:rPr>
      </w:pPr>
      <w:r>
        <w:rPr>
          <w:rFonts w:ascii="Arial" w:eastAsia="Arial" w:hAnsi="Arial" w:cs="Arial"/>
          <w:b/>
          <w:bCs/>
          <w:color w:val="1A5C3E"/>
          <w:sz w:val="20"/>
          <w:szCs w:val="20"/>
        </w:rPr>
        <w:t xml:space="preserve">OBSERVACIÓN 2.6. </w:t>
      </w:r>
      <w:r>
        <w:rPr>
          <w:rFonts w:ascii="Arial" w:eastAsia="Arial" w:hAnsi="Arial" w:cs="Arial"/>
          <w:b/>
          <w:bCs/>
          <w:color w:val="000000"/>
          <w:sz w:val="20"/>
          <w:szCs w:val="20"/>
        </w:rPr>
        <w:t>USB ×4 en videowall LED plegable — excede la necesidad funcional documentable</w:t>
      </w:r>
    </w:p>
    <w:p w14:paraId="3F235025" w14:textId="77777777" w:rsidR="00BE6367" w:rsidRDefault="00C90F6A">
      <w:pPr>
        <w:spacing w:before="80" w:after="60"/>
        <w:ind w:left="200"/>
        <w:jc w:val="both"/>
        <w:rPr>
          <w:rFonts w:ascii="Arial" w:eastAsia="Arial" w:hAnsi="Arial" w:cs="Arial"/>
          <w:sz w:val="20"/>
          <w:szCs w:val="20"/>
        </w:rPr>
      </w:pPr>
      <w:r>
        <w:rPr>
          <w:rFonts w:ascii="Arial" w:eastAsia="Arial" w:hAnsi="Arial" w:cs="Arial"/>
          <w:b/>
          <w:bCs/>
          <w:color w:val="2D7D50"/>
          <w:sz w:val="20"/>
          <w:szCs w:val="20"/>
        </w:rPr>
        <w:t xml:space="preserve">Fundamento jurídico: </w:t>
      </w:r>
      <w:r>
        <w:rPr>
          <w:rFonts w:ascii="Arial" w:eastAsia="Arial" w:hAnsi="Arial" w:cs="Arial"/>
          <w:sz w:val="20"/>
          <w:szCs w:val="20"/>
        </w:rPr>
        <w:t>Art. 25-12 Ley 80/1993. Decreto 1082/2015, Art. 2.2.1.1.1.4.1. Principio de planeación adecuada.</w:t>
      </w:r>
    </w:p>
    <w:p w14:paraId="48C673DB" w14:textId="77777777" w:rsidR="00BE6367" w:rsidRDefault="00C90F6A">
      <w:pPr>
        <w:spacing w:before="80" w:after="60"/>
        <w:ind w:left="200"/>
        <w:jc w:val="both"/>
        <w:rPr>
          <w:rFonts w:ascii="Arial" w:eastAsia="Arial" w:hAnsi="Arial" w:cs="Arial"/>
          <w:sz w:val="20"/>
          <w:szCs w:val="20"/>
        </w:rPr>
      </w:pPr>
      <w:r>
        <w:rPr>
          <w:rFonts w:ascii="Arial" w:eastAsia="Arial" w:hAnsi="Arial" w:cs="Arial"/>
          <w:sz w:val="20"/>
          <w:szCs w:val="20"/>
        </w:rPr>
        <w:t>Los estudios previos no documentan una necesidad de 4 puertos USB simultáneos en un videowall de señalización y presentaciones. El uso funcional del bien solo requiere 2 puertos USB (contenido y firmware). El exceso en el requisito restringe artificialmente la participación sin aportar valor adicional al cumplimiento del objeto contractual.</w:t>
      </w:r>
    </w:p>
    <w:p w14:paraId="00577F4A" w14:textId="77777777" w:rsidR="00BE6367" w:rsidRDefault="00C90F6A">
      <w:pPr>
        <w:spacing w:before="60" w:after="120"/>
        <w:ind w:left="200"/>
        <w:jc w:val="both"/>
        <w:rPr>
          <w:rFonts w:ascii="Arial" w:eastAsia="Arial" w:hAnsi="Arial" w:cs="Arial"/>
          <w:sz w:val="20"/>
          <w:szCs w:val="20"/>
        </w:rPr>
      </w:pPr>
      <w:r>
        <w:rPr>
          <w:rFonts w:ascii="Arial" w:eastAsia="Arial" w:hAnsi="Arial" w:cs="Arial"/>
          <w:b/>
          <w:bCs/>
          <w:color w:val="2D7D50"/>
          <w:sz w:val="20"/>
          <w:szCs w:val="20"/>
        </w:rPr>
        <w:t xml:space="preserve">Solicitud: </w:t>
      </w:r>
      <w:r>
        <w:rPr>
          <w:rFonts w:ascii="Arial" w:eastAsia="Arial" w:hAnsi="Arial" w:cs="Arial"/>
          <w:sz w:val="20"/>
          <w:szCs w:val="20"/>
        </w:rPr>
        <w:t>Se solicita ajustar a: 'Mínimo 2 puertos USB-A'.</w:t>
      </w:r>
    </w:p>
    <w:p w14:paraId="37BAEE7C" w14:textId="77777777" w:rsidR="00BE6367" w:rsidRDefault="00C90F6A">
      <w:pPr>
        <w:spacing w:after="0"/>
        <w:jc w:val="both"/>
        <w:rPr>
          <w:rFonts w:ascii="Arial" w:eastAsia="Arial" w:hAnsi="Arial" w:cs="Arial"/>
          <w:b/>
          <w:bCs/>
          <w:sz w:val="20"/>
          <w:szCs w:val="20"/>
        </w:rPr>
      </w:pPr>
      <w:r>
        <w:rPr>
          <w:rFonts w:ascii="Arial" w:eastAsia="Arial" w:hAnsi="Arial" w:cs="Arial"/>
          <w:b/>
          <w:bCs/>
          <w:sz w:val="20"/>
          <w:szCs w:val="20"/>
        </w:rPr>
        <w:t>RESPUESTA A OBSERVACIÓN:</w:t>
      </w:r>
    </w:p>
    <w:p w14:paraId="195BD228"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lastRenderedPageBreak/>
        <w:t>La Entidad acepta parcialmente la observación. No se accede a reducir el requerimiento a un mínimo de 2 puertos USB, por cuanto la disponibilidad de 4 puertos responde a las necesidades funcionales identificadas por la Entidad para garantizar la conexión simultánea de los dispositivos requeridos en la operación del videowall LED plegable, tales como memorias USB para reproducción de contenido multimedia, dispositivos de actualización de firmware y demás periféricos que puedan emplearse conforme al uso previsto del equipo en escenarios de señalización y presentación.</w:t>
      </w:r>
    </w:p>
    <w:p w14:paraId="729A18DA"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obstante, se acoge la alternativa ya admitida por la Entidad para este mismo tipo de requerimiento en el presente proceso, en el sentido de permitir que el cumplimiento de los 4 puertos USB se logre mediante la incorporación de un concentrador (Hub) USB externo, siempre que este sea suministrado junto con el equipo, forme parte integral de la solución ofertada y garantice la plena funcionalidad, estabilidad y compatibilidad exigidas para el uso previsto del videowall.</w:t>
      </w:r>
    </w:p>
    <w:p w14:paraId="1CB8589C"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ficha técnica será ajustada para precisar que el requisito de "mínimo 4 puertos USB" podrá cumplirse de manera nativa en el equipo o mediante Hub USB externo incluido en la entrega, sin que ello modifique el estándar funcional exigido por la Entidad.</w:t>
      </w:r>
    </w:p>
    <w:p w14:paraId="672C246C" w14:textId="77777777" w:rsidR="00BE6367" w:rsidRDefault="00C90F6A">
      <w:pPr>
        <w:pBdr>
          <w:left w:val="single" w:sz="12" w:space="8" w:color="2D7D50"/>
        </w:pBdr>
        <w:spacing w:before="160" w:after="40"/>
        <w:ind w:left="200"/>
        <w:jc w:val="both"/>
        <w:rPr>
          <w:rFonts w:ascii="Arial" w:eastAsia="Arial" w:hAnsi="Arial" w:cs="Arial"/>
          <w:sz w:val="20"/>
          <w:szCs w:val="20"/>
        </w:rPr>
      </w:pPr>
      <w:r>
        <w:rPr>
          <w:rFonts w:ascii="Arial" w:eastAsia="Arial" w:hAnsi="Arial" w:cs="Arial"/>
          <w:b/>
          <w:bCs/>
          <w:color w:val="1A5C3E"/>
          <w:sz w:val="20"/>
          <w:szCs w:val="20"/>
        </w:rPr>
        <w:t xml:space="preserve">OBSERVACIÓN 2.7. </w:t>
      </w:r>
      <w:r>
        <w:rPr>
          <w:rFonts w:ascii="Arial" w:eastAsia="Arial" w:hAnsi="Arial" w:cs="Arial"/>
          <w:b/>
          <w:bCs/>
          <w:color w:val="000000"/>
          <w:sz w:val="20"/>
          <w:szCs w:val="20"/>
        </w:rPr>
        <w:t>Certificación ENERGY STAR — requisito técnicamente de imposible cumplimiento para este tipo de bien</w:t>
      </w:r>
    </w:p>
    <w:p w14:paraId="237E3594" w14:textId="77777777" w:rsidR="00BE6367" w:rsidRDefault="00C90F6A">
      <w:pPr>
        <w:spacing w:before="80" w:after="60"/>
        <w:ind w:left="200"/>
        <w:jc w:val="both"/>
        <w:rPr>
          <w:rFonts w:ascii="Arial" w:eastAsia="Arial" w:hAnsi="Arial" w:cs="Arial"/>
          <w:sz w:val="20"/>
          <w:szCs w:val="20"/>
        </w:rPr>
      </w:pPr>
      <w:r>
        <w:rPr>
          <w:rFonts w:ascii="Arial" w:eastAsia="Arial" w:hAnsi="Arial" w:cs="Arial"/>
          <w:b/>
          <w:bCs/>
          <w:color w:val="2D7D50"/>
          <w:sz w:val="20"/>
          <w:szCs w:val="20"/>
        </w:rPr>
        <w:t xml:space="preserve">Fundamento jurídico: </w:t>
      </w:r>
      <w:r>
        <w:rPr>
          <w:rFonts w:ascii="Arial" w:eastAsia="Arial" w:hAnsi="Arial" w:cs="Arial"/>
          <w:sz w:val="20"/>
          <w:szCs w:val="20"/>
        </w:rPr>
        <w:t>Ley 80/1993, Art. 24 Num. 5°: prohibición de requisitos de imposible cumplimiento. Consejo de Estado, Sección Tercera, Sentencia 15476/2008.</w:t>
      </w:r>
    </w:p>
    <w:p w14:paraId="3BDA2949" w14:textId="77777777" w:rsidR="00BE6367" w:rsidRDefault="00C90F6A">
      <w:pPr>
        <w:spacing w:before="80" w:after="60"/>
        <w:ind w:left="200"/>
        <w:jc w:val="both"/>
        <w:rPr>
          <w:rFonts w:ascii="Arial" w:eastAsia="Arial" w:hAnsi="Arial" w:cs="Arial"/>
          <w:sz w:val="20"/>
          <w:szCs w:val="20"/>
        </w:rPr>
      </w:pPr>
      <w:r>
        <w:rPr>
          <w:rFonts w:ascii="Arial" w:eastAsia="Arial" w:hAnsi="Arial" w:cs="Arial"/>
          <w:sz w:val="20"/>
          <w:szCs w:val="20"/>
        </w:rPr>
        <w:t>El programa ENERGY STAR para displays (Version 8.0) establece umbrales de consumo máximo de ~85W para monitores. Un videowall LED de 136" con 550 nits de brillo requiere entre 600W y 2000W de potencia por diseño funcional. Ningún fabricante mundial puede obtener la certificación ENERGY STAR para un videowall de estas características. Exigir ENERGY STAR a este bien constituye un 'requisito de imposible cumplimiento', prohibido expresamente por el Art. 24 de la Ley 80/1993 y sancionado por la jurisprudencia del Consejo de Estado (Sentencia 15476/2008).</w:t>
      </w:r>
    </w:p>
    <w:p w14:paraId="3B6EAA0A" w14:textId="77777777" w:rsidR="00BE6367" w:rsidRDefault="00C90F6A">
      <w:pPr>
        <w:spacing w:before="60" w:after="120"/>
        <w:ind w:left="200"/>
        <w:jc w:val="both"/>
        <w:rPr>
          <w:rFonts w:ascii="Arial" w:eastAsia="Arial" w:hAnsi="Arial" w:cs="Arial"/>
          <w:sz w:val="20"/>
          <w:szCs w:val="20"/>
        </w:rPr>
      </w:pPr>
      <w:r>
        <w:rPr>
          <w:rFonts w:ascii="Arial" w:eastAsia="Arial" w:hAnsi="Arial" w:cs="Arial"/>
          <w:b/>
          <w:bCs/>
          <w:color w:val="2D7D50"/>
          <w:sz w:val="20"/>
          <w:szCs w:val="20"/>
        </w:rPr>
        <w:t xml:space="preserve">Solicitud: </w:t>
      </w:r>
      <w:r>
        <w:rPr>
          <w:rFonts w:ascii="Arial" w:eastAsia="Arial" w:hAnsi="Arial" w:cs="Arial"/>
          <w:sz w:val="20"/>
          <w:szCs w:val="20"/>
        </w:rPr>
        <w:t>Se solicita reemplazar ENERGY STAR por: 'Certificación de seguridad eléctrica IEC 62368-1 o equivalente (CE, CB, UL), y declaración de cumplimiento de directiva RoHS, firmada por el fabricante'.</w:t>
      </w:r>
    </w:p>
    <w:p w14:paraId="1F7E1747" w14:textId="77777777" w:rsidR="00BE6367" w:rsidRDefault="00BE6367">
      <w:pPr>
        <w:spacing w:before="60" w:after="120"/>
        <w:ind w:left="200"/>
        <w:jc w:val="both"/>
        <w:rPr>
          <w:rFonts w:ascii="Arial" w:eastAsia="Arial" w:hAnsi="Arial" w:cs="Arial"/>
          <w:sz w:val="20"/>
          <w:szCs w:val="20"/>
        </w:rPr>
      </w:pPr>
    </w:p>
    <w:p w14:paraId="434FC9DF" w14:textId="77777777" w:rsidR="00BE6367" w:rsidRDefault="00BE6367">
      <w:pPr>
        <w:spacing w:before="60" w:after="120"/>
        <w:ind w:left="200"/>
        <w:jc w:val="both"/>
        <w:rPr>
          <w:rFonts w:ascii="Arial" w:eastAsia="Arial" w:hAnsi="Arial" w:cs="Arial"/>
          <w:sz w:val="20"/>
          <w:szCs w:val="20"/>
        </w:rPr>
      </w:pPr>
    </w:p>
    <w:p w14:paraId="67004A00" w14:textId="77777777" w:rsidR="00BE6367" w:rsidRDefault="00C90F6A">
      <w:pPr>
        <w:spacing w:after="0"/>
        <w:jc w:val="both"/>
        <w:rPr>
          <w:rFonts w:ascii="Arial" w:eastAsia="Arial" w:hAnsi="Arial" w:cs="Arial"/>
          <w:b/>
          <w:bCs/>
          <w:sz w:val="20"/>
          <w:szCs w:val="20"/>
        </w:rPr>
      </w:pPr>
      <w:r>
        <w:rPr>
          <w:rFonts w:ascii="Arial" w:eastAsia="Arial" w:hAnsi="Arial" w:cs="Arial"/>
          <w:b/>
          <w:bCs/>
          <w:sz w:val="20"/>
          <w:szCs w:val="20"/>
        </w:rPr>
        <w:t>RESPUESTA A OBSERVACIÓN:</w:t>
      </w:r>
    </w:p>
    <w:p w14:paraId="1123C19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acepta la observación. Verificado técnicamente que la certificación ENERGY STAR, en su categoría de displays, está diseñada para equipos de consumo eléctrico propio de monitores y televisores de uso doméstico u ofimático, y que dicho estándar resulta incompatible con las características de potencia y luminancia inherentes a un videowall LED de gran formato como el requerido en el presente proceso, la Entidad procederá a ajustar la ficha técnica, eliminando la exigencia de certificación ENERGY STAR para este ítem.</w:t>
      </w:r>
    </w:p>
    <w:p w14:paraId="23C74ED2"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su lugar, se exigirá la acreditación de: (i) certificación de seguridad eléctrica IEC 62368-1 o su equivalente internacional (CE, CB o UL), y (ii) declaración de cumplimiento de la directiva RoHS suscrita por el fabricante, en los términos propuestos por el observante, por considerarse estándares técnicamente aplicables y suficientes para garantizar la seguridad eléctrica y ambiental del equipo ofertado.</w:t>
      </w:r>
    </w:p>
    <w:p w14:paraId="30279D44"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lastRenderedPageBreak/>
        <w:t>La ficha técnica será modificada en el sentido indicado, mediante el respectivo documento de modificación a la ficha técnica de producto.</w:t>
      </w:r>
    </w:p>
    <w:p w14:paraId="7AC8FE69" w14:textId="77777777" w:rsidR="00BE6367" w:rsidRDefault="00C90F6A">
      <w:pPr>
        <w:pBdr>
          <w:bottom w:val="single" w:sz="4" w:space="2" w:color="2D7D50"/>
        </w:pBdr>
        <w:spacing w:before="160" w:after="40"/>
        <w:jc w:val="both"/>
        <w:rPr>
          <w:rFonts w:ascii="Arial" w:eastAsia="Arial" w:hAnsi="Arial" w:cs="Arial"/>
          <w:sz w:val="20"/>
          <w:szCs w:val="20"/>
        </w:rPr>
      </w:pPr>
      <w:r>
        <w:rPr>
          <w:rFonts w:ascii="Arial" w:eastAsia="Arial" w:hAnsi="Arial" w:cs="Arial"/>
          <w:b/>
          <w:bCs/>
          <w:color w:val="2D7D50"/>
          <w:sz w:val="20"/>
          <w:szCs w:val="20"/>
        </w:rPr>
        <w:t>ÍTEM: MONITOR INTERACTIVO 75" — SIBOL 44320 + 44442</w:t>
      </w:r>
    </w:p>
    <w:p w14:paraId="0BD4F1A4" w14:textId="77777777" w:rsidR="00BE6367" w:rsidRDefault="00C90F6A">
      <w:pPr>
        <w:pBdr>
          <w:left w:val="single" w:sz="12" w:space="8" w:color="2D7D50"/>
        </w:pBdr>
        <w:spacing w:before="160" w:after="40"/>
        <w:ind w:left="200"/>
        <w:jc w:val="both"/>
        <w:rPr>
          <w:rFonts w:ascii="Arial" w:eastAsia="Arial" w:hAnsi="Arial" w:cs="Arial"/>
          <w:sz w:val="20"/>
          <w:szCs w:val="20"/>
        </w:rPr>
      </w:pPr>
      <w:r>
        <w:rPr>
          <w:rFonts w:ascii="Arial" w:eastAsia="Arial" w:hAnsi="Arial" w:cs="Arial"/>
          <w:b/>
          <w:bCs/>
          <w:color w:val="1A5C3E"/>
          <w:sz w:val="20"/>
          <w:szCs w:val="20"/>
        </w:rPr>
        <w:t xml:space="preserve">OBSERVACIÓN 3.1. </w:t>
      </w:r>
      <w:r>
        <w:rPr>
          <w:rFonts w:ascii="Arial" w:eastAsia="Arial" w:hAnsi="Arial" w:cs="Arial"/>
          <w:b/>
          <w:bCs/>
          <w:color w:val="000000"/>
          <w:sz w:val="20"/>
          <w:szCs w:val="20"/>
        </w:rPr>
        <w:t>USB 3.0 Type-A ×5 — interpretación restrictiva que viola principio de equivalencia funcional</w:t>
      </w:r>
    </w:p>
    <w:p w14:paraId="0346DED9" w14:textId="77777777" w:rsidR="00BE6367" w:rsidRDefault="00C90F6A">
      <w:pPr>
        <w:spacing w:before="80" w:after="60"/>
        <w:ind w:left="200"/>
        <w:jc w:val="both"/>
        <w:rPr>
          <w:rFonts w:ascii="Arial" w:eastAsia="Arial" w:hAnsi="Arial" w:cs="Arial"/>
          <w:sz w:val="20"/>
          <w:szCs w:val="20"/>
        </w:rPr>
      </w:pPr>
      <w:r>
        <w:rPr>
          <w:rFonts w:ascii="Arial" w:eastAsia="Arial" w:hAnsi="Arial" w:cs="Arial"/>
          <w:b/>
          <w:bCs/>
          <w:color w:val="2D7D50"/>
          <w:sz w:val="20"/>
          <w:szCs w:val="20"/>
        </w:rPr>
        <w:t xml:space="preserve">Fundamento jurídico: </w:t>
      </w:r>
      <w:r>
        <w:rPr>
          <w:rFonts w:ascii="Arial" w:eastAsia="Arial" w:hAnsi="Arial" w:cs="Arial"/>
          <w:sz w:val="20"/>
          <w:szCs w:val="20"/>
        </w:rPr>
        <w:t>Principio de equivalencia funcional. Ley 1150/2007, Art. 5° sobre selección objetiva. Art. 24-5° Ley 80/1993.</w:t>
      </w:r>
    </w:p>
    <w:p w14:paraId="50DFDC22" w14:textId="77777777" w:rsidR="00BE6367" w:rsidRDefault="00C90F6A">
      <w:pPr>
        <w:spacing w:before="80" w:after="60"/>
        <w:ind w:left="200"/>
        <w:jc w:val="both"/>
        <w:rPr>
          <w:rFonts w:ascii="Arial" w:eastAsia="Arial" w:hAnsi="Arial" w:cs="Arial"/>
          <w:sz w:val="20"/>
          <w:szCs w:val="20"/>
        </w:rPr>
      </w:pPr>
      <w:r>
        <w:rPr>
          <w:rFonts w:ascii="Arial" w:eastAsia="Arial" w:hAnsi="Arial" w:cs="Arial"/>
          <w:sz w:val="20"/>
          <w:szCs w:val="20"/>
        </w:rPr>
        <w:t>El pliego exige 5 puertos USB 3.0 Type-A + 1 puerto USB 2.0 Type-A (total 6 USB-A). Los equipos de última generación de pantallas interactivas 75" ofrecen entre 4 y 5 puertos USB-A combinando versiones 3.0 y 2.0, todos retrocompatibles. Un equipo con 4×USB 3.0 + 1×USB 2.0 = 5 puertos USB-A totales cumple funcionalmente todos los casos de uso del monitor, dado que USB 3.0 y 2.0 son retrocompatibles bidireccionales (USB-IF estándar). La interpretación literal estricta de '5 puertos USB 3.0' como categoría separada a 'USB 2.0' viola el principio de equivalencia funcional reconocido por la jurisprudencia del Consejo de Estado.</w:t>
      </w:r>
    </w:p>
    <w:p w14:paraId="370CF220" w14:textId="77777777" w:rsidR="00BE6367" w:rsidRDefault="00C90F6A">
      <w:pPr>
        <w:spacing w:before="60" w:after="120"/>
        <w:ind w:left="200"/>
        <w:jc w:val="both"/>
        <w:rPr>
          <w:rFonts w:ascii="Arial" w:eastAsia="Arial" w:hAnsi="Arial" w:cs="Arial"/>
          <w:sz w:val="20"/>
          <w:szCs w:val="20"/>
        </w:rPr>
      </w:pPr>
      <w:r>
        <w:rPr>
          <w:rFonts w:ascii="Arial" w:eastAsia="Arial" w:hAnsi="Arial" w:cs="Arial"/>
          <w:b/>
          <w:bCs/>
          <w:color w:val="2D7D50"/>
          <w:sz w:val="20"/>
          <w:szCs w:val="20"/>
        </w:rPr>
        <w:t xml:space="preserve">Solicitud: </w:t>
      </w:r>
      <w:r>
        <w:rPr>
          <w:rFonts w:ascii="Arial" w:eastAsia="Arial" w:hAnsi="Arial" w:cs="Arial"/>
          <w:sz w:val="20"/>
          <w:szCs w:val="20"/>
        </w:rPr>
        <w:t>Se solicita ajustar a: 'Mínimo 5 puertos USB-A (versión 3.0 o 2.0), incluyendo al menos 1 puerto USB 2.0 Type-A'. Un equipo con 4×USB3.0 + 1×USB2.0 cumple este requisito íntegramente.</w:t>
      </w:r>
    </w:p>
    <w:p w14:paraId="06B18414"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6324AD8F"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acepta parcialmente la observación. La Entidad ajusta el requerimiento para el Monitor Interactivo 75", exigiendo un mínimo de 5 puertos USB-A en total, de los cuales al menos 1 deberá corresponder a la versión USB 2.0 Type-A, admitiéndose que los 4 puertos restantes sean USB 3.0 Type-A, USB 2.0 Type-A, o una combinación de ambos, en atención a la retrocompatibilidad reconocida entre dichas versiones conforme a los estándares del USB Implementers Forum (USB-IF), y considerando que dicha configuración satisface adecuadamente los casos de uso previstos para este equipo.</w:t>
      </w:r>
    </w:p>
    <w:p w14:paraId="11232CE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ficha técnica será ajustada para exigir "mínimo 5 puertos USB-A, incluyendo al menos 1 puerto USB 2.0 Type-A", en lugar de la exigencia original de 5 puertos USB 3.0 Type-A más 1 puerto USB 2.0 Type-A adicional.</w:t>
      </w:r>
    </w:p>
    <w:p w14:paraId="0D7F621B" w14:textId="77777777" w:rsidR="00BE6367" w:rsidRDefault="00BE6367">
      <w:pPr>
        <w:spacing w:before="60" w:after="120"/>
        <w:ind w:left="200"/>
        <w:jc w:val="both"/>
        <w:rPr>
          <w:rFonts w:ascii="Arial" w:eastAsia="Arial" w:hAnsi="Arial" w:cs="Arial"/>
          <w:sz w:val="20"/>
          <w:szCs w:val="20"/>
        </w:rPr>
      </w:pPr>
    </w:p>
    <w:p w14:paraId="6AE36FC3" w14:textId="77777777" w:rsidR="00BE6367" w:rsidRDefault="00C90F6A">
      <w:pPr>
        <w:pBdr>
          <w:bottom w:val="single" w:sz="6" w:space="2" w:color="1A5C3E"/>
        </w:pBdr>
        <w:spacing w:before="160" w:after="80"/>
        <w:jc w:val="both"/>
        <w:rPr>
          <w:rFonts w:ascii="Arial" w:eastAsia="Arial" w:hAnsi="Arial" w:cs="Arial"/>
          <w:sz w:val="20"/>
          <w:szCs w:val="20"/>
        </w:rPr>
      </w:pPr>
      <w:r>
        <w:rPr>
          <w:rFonts w:ascii="Arial" w:eastAsia="Arial" w:hAnsi="Arial" w:cs="Arial"/>
          <w:b/>
          <w:bCs/>
          <w:color w:val="1A5C3E"/>
          <w:sz w:val="20"/>
          <w:szCs w:val="20"/>
        </w:rPr>
        <w:t>CONSIDERACIONES FINALES Y PETICIÓN</w:t>
      </w:r>
    </w:p>
    <w:p w14:paraId="32437065" w14:textId="77777777" w:rsidR="00BE6367" w:rsidRDefault="00C90F6A">
      <w:pPr>
        <w:spacing w:before="80" w:after="60"/>
        <w:jc w:val="both"/>
        <w:rPr>
          <w:rFonts w:ascii="Arial" w:eastAsia="Arial" w:hAnsi="Arial" w:cs="Arial"/>
          <w:sz w:val="20"/>
          <w:szCs w:val="20"/>
        </w:rPr>
      </w:pPr>
      <w:r>
        <w:rPr>
          <w:rFonts w:ascii="Arial" w:eastAsia="Arial" w:hAnsi="Arial" w:cs="Arial"/>
          <w:sz w:val="20"/>
          <w:szCs w:val="20"/>
        </w:rPr>
        <w:t>Las presentes observaciones y aclaraciones se presentan en ejercicio de los derechos procesales reconocidos en la Ley 80 de 1993 (Art. 30, Num. 4°) y en el Decreto 1082 de 2015 (Art. 2.2.1.2.1.10). En consecuencia, solicitamos respetuosamente:</w:t>
      </w:r>
    </w:p>
    <w:p w14:paraId="603BA38A" w14:textId="77777777" w:rsidR="00BE6367" w:rsidRDefault="00C90F6A">
      <w:pPr>
        <w:spacing w:before="40" w:after="40"/>
        <w:ind w:left="360"/>
        <w:jc w:val="both"/>
        <w:rPr>
          <w:rFonts w:ascii="Arial" w:eastAsia="Arial" w:hAnsi="Arial" w:cs="Arial"/>
          <w:sz w:val="20"/>
          <w:szCs w:val="20"/>
        </w:rPr>
      </w:pPr>
      <w:r>
        <w:rPr>
          <w:rFonts w:ascii="Arial" w:eastAsia="Arial" w:hAnsi="Arial" w:cs="Arial"/>
          <w:sz w:val="20"/>
          <w:szCs w:val="20"/>
        </w:rPr>
        <w:t>I. Dar respuesta motivada a cada una de las observaciones presentadas, conforme al deber legal de la entidad.</w:t>
      </w:r>
    </w:p>
    <w:p w14:paraId="6AFDBE98" w14:textId="77777777" w:rsidR="00BE6367" w:rsidRDefault="00C90F6A">
      <w:pPr>
        <w:spacing w:before="40" w:after="40"/>
        <w:ind w:left="360"/>
        <w:jc w:val="both"/>
        <w:rPr>
          <w:rFonts w:ascii="Arial" w:eastAsia="Arial" w:hAnsi="Arial" w:cs="Arial"/>
          <w:sz w:val="20"/>
          <w:szCs w:val="20"/>
        </w:rPr>
      </w:pPr>
      <w:r>
        <w:rPr>
          <w:rFonts w:ascii="Arial" w:eastAsia="Arial" w:hAnsi="Arial" w:cs="Arial"/>
          <w:sz w:val="20"/>
          <w:szCs w:val="20"/>
        </w:rPr>
        <w:t>II. Modificar el pliego de condiciones en los puntos señalados mediante adenda publicada en el SECOP y en el sistema de la BMC.</w:t>
      </w:r>
    </w:p>
    <w:p w14:paraId="2385C8C7" w14:textId="77777777" w:rsidR="00BE6367" w:rsidRDefault="00C90F6A">
      <w:pPr>
        <w:spacing w:before="40" w:after="80"/>
        <w:ind w:left="360"/>
        <w:jc w:val="both"/>
        <w:rPr>
          <w:rFonts w:ascii="Arial" w:eastAsia="Arial" w:hAnsi="Arial" w:cs="Arial"/>
          <w:sz w:val="20"/>
          <w:szCs w:val="20"/>
        </w:rPr>
      </w:pPr>
      <w:r>
        <w:rPr>
          <w:rFonts w:ascii="Arial" w:eastAsia="Arial" w:hAnsi="Arial" w:cs="Arial"/>
          <w:sz w:val="20"/>
          <w:szCs w:val="20"/>
        </w:rPr>
        <w:t>III. Garantizar que el proceso BMI-2026-527 se desarrolle en condiciones de libre concurrencia, transparencia y selección objetiva, conforme a los artículos 23 y 24 de la Ley 80 de 1993, el artículo 5° de la Ley 1150 de 2007 y el artículo 333 de la Constitución Política.</w:t>
      </w:r>
    </w:p>
    <w:p w14:paraId="5E7441FF" w14:textId="77777777" w:rsidR="00BE6367" w:rsidRDefault="00C90F6A">
      <w:pPr>
        <w:spacing w:before="80"/>
        <w:jc w:val="both"/>
        <w:rPr>
          <w:rFonts w:ascii="Arial" w:eastAsia="Arial" w:hAnsi="Arial" w:cs="Arial"/>
          <w:sz w:val="20"/>
          <w:szCs w:val="20"/>
        </w:rPr>
      </w:pPr>
      <w:r>
        <w:rPr>
          <w:rFonts w:ascii="Arial" w:eastAsia="Arial" w:hAnsi="Arial" w:cs="Arial"/>
          <w:sz w:val="20"/>
          <w:szCs w:val="20"/>
        </w:rPr>
        <w:t>De no atenderse estas observaciones sin motivación suficiente, nos reservamos el derecho de ejercer los recursos y acciones legales procedentes, incluyendo la solicitud de suspensión provisional ante la Jurisdicción Contencioso Administrativa.</w:t>
      </w:r>
    </w:p>
    <w:p w14:paraId="2D14CD52" w14:textId="77777777" w:rsidR="00BE6367" w:rsidRDefault="00C90F6A">
      <w:pPr>
        <w:spacing w:before="80"/>
        <w:jc w:val="both"/>
        <w:rPr>
          <w:rFonts w:ascii="Arial" w:eastAsia="Arial" w:hAnsi="Arial" w:cs="Arial"/>
          <w:sz w:val="20"/>
          <w:szCs w:val="20"/>
        </w:rPr>
      </w:pPr>
      <w:r>
        <w:rPr>
          <w:rFonts w:ascii="Arial" w:eastAsia="Arial" w:hAnsi="Arial" w:cs="Arial"/>
          <w:sz w:val="20"/>
          <w:szCs w:val="20"/>
        </w:rPr>
        <w:lastRenderedPageBreak/>
        <w:t>Atentamente,</w:t>
      </w:r>
    </w:p>
    <w:p w14:paraId="12159C08" w14:textId="77777777" w:rsidR="00BE6367" w:rsidRDefault="00C90F6A">
      <w:pPr>
        <w:spacing w:before="80" w:after="80"/>
        <w:jc w:val="both"/>
        <w:rPr>
          <w:rFonts w:ascii="Arial" w:eastAsia="Arial" w:hAnsi="Arial" w:cs="Arial"/>
          <w:sz w:val="20"/>
          <w:szCs w:val="20"/>
        </w:rPr>
      </w:pPr>
      <w:r>
        <w:rPr>
          <w:rFonts w:ascii="Arial" w:eastAsia="Arial" w:hAnsi="Arial" w:cs="Arial"/>
          <w:b/>
          <w:bCs/>
          <w:color w:val="000000"/>
          <w:sz w:val="20"/>
          <w:szCs w:val="20"/>
        </w:rPr>
        <w:t>[NOMBRE DEL REPRESENTANTE LEGAL]</w:t>
      </w:r>
    </w:p>
    <w:p w14:paraId="620F9F31"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[CARGO]</w:t>
      </w:r>
    </w:p>
    <w:p w14:paraId="0C5B152A"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[EMPRESA ALIADA 2]</w:t>
      </w:r>
    </w:p>
    <w:p w14:paraId="1D479120" w14:textId="77777777" w:rsidR="00BE6367" w:rsidRDefault="00C90F6A">
      <w:pPr>
        <w:spacing w:before="80" w:after="80"/>
        <w:jc w:val="both"/>
        <w:rPr>
          <w:rFonts w:ascii="Arial" w:eastAsia="Arial" w:hAnsi="Arial" w:cs="Arial"/>
          <w:sz w:val="20"/>
          <w:szCs w:val="20"/>
        </w:rPr>
      </w:pPr>
      <w:r>
        <w:rPr>
          <w:rFonts w:ascii="Arial" w:eastAsia="Arial" w:hAnsi="Arial" w:cs="Arial"/>
          <w:sz w:val="20"/>
          <w:szCs w:val="20"/>
        </w:rPr>
        <w:t>NIT: [NIT]  |  Tel.: [TELÉFONO]  |  Email: [CORREO]  |  C.C.: [NÚMERO]</w:t>
      </w:r>
    </w:p>
    <w:p w14:paraId="5D973A30" w14:textId="77777777" w:rsidR="00BE6367" w:rsidRDefault="00BE6367">
      <w:pPr>
        <w:jc w:val="both"/>
        <w:rPr>
          <w:rFonts w:ascii="Arial" w:eastAsia="Arial" w:hAnsi="Arial" w:cs="Arial"/>
          <w:sz w:val="20"/>
          <w:szCs w:val="20"/>
        </w:rPr>
      </w:pPr>
    </w:p>
    <w:tbl>
      <w:tblPr>
        <w:tblStyle w:val="af1"/>
        <w:tblW w:w="8353" w:type="dxa"/>
        <w:tblInd w:w="0"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1570"/>
        <w:gridCol w:w="6783"/>
      </w:tblGrid>
      <w:tr w:rsidR="00BE6367" w14:paraId="420E4E3A"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0DA01ACF"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Sociedad C. B.:</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523122BB"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AGROBOLSA S.A.</w:t>
            </w:r>
          </w:p>
        </w:tc>
      </w:tr>
      <w:tr w:rsidR="00BE6367" w14:paraId="282A93D3"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39DBEF4C"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Fecha Registro:</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4578037C"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2026-07-10 (13:58)</w:t>
            </w:r>
          </w:p>
        </w:tc>
      </w:tr>
    </w:tbl>
    <w:p w14:paraId="0475CF16" w14:textId="77777777" w:rsidR="00BE6367" w:rsidRDefault="00BE6367">
      <w:pPr>
        <w:jc w:val="both"/>
        <w:rPr>
          <w:rFonts w:ascii="Arial" w:eastAsia="Arial" w:hAnsi="Arial" w:cs="Arial"/>
          <w:b/>
          <w:bCs/>
          <w:sz w:val="20"/>
          <w:szCs w:val="20"/>
        </w:rPr>
      </w:pPr>
    </w:p>
    <w:p w14:paraId="369632C5"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Documento de Condiciones Especiales (DCE)</w:t>
      </w:r>
    </w:p>
    <w:p w14:paraId="3B2676C0" w14:textId="77777777" w:rsidR="00BE6367" w:rsidRDefault="00BE6367">
      <w:pPr>
        <w:jc w:val="both"/>
        <w:rPr>
          <w:rFonts w:ascii="Arial" w:eastAsia="Arial" w:hAnsi="Arial" w:cs="Arial"/>
          <w:sz w:val="20"/>
          <w:szCs w:val="20"/>
        </w:rPr>
      </w:pPr>
    </w:p>
    <w:p w14:paraId="4DA66CA8"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04A338C2"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04C52826"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1AA1D9BA" w14:textId="77777777" w:rsidR="00BE6367" w:rsidRDefault="00BE6367">
      <w:pPr>
        <w:jc w:val="both"/>
        <w:rPr>
          <w:rFonts w:ascii="Arial" w:eastAsia="Arial" w:hAnsi="Arial" w:cs="Arial"/>
          <w:sz w:val="20"/>
          <w:szCs w:val="20"/>
        </w:rPr>
      </w:pPr>
    </w:p>
    <w:p w14:paraId="4E2A7695" w14:textId="77777777" w:rsidR="00BE6367" w:rsidRDefault="00BE6367">
      <w:pPr>
        <w:jc w:val="both"/>
        <w:rPr>
          <w:rFonts w:ascii="Arial" w:eastAsia="Arial" w:hAnsi="Arial" w:cs="Arial"/>
          <w:sz w:val="20"/>
          <w:szCs w:val="20"/>
        </w:rPr>
      </w:pPr>
    </w:p>
    <w:p w14:paraId="4E140CF1"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 xml:space="preserve">Documento(s) Adjunto(s): </w:t>
      </w:r>
    </w:p>
    <w:p w14:paraId="72415915" w14:textId="77777777" w:rsidR="00BE6367" w:rsidRDefault="00BE6367">
      <w:pPr>
        <w:jc w:val="both"/>
        <w:rPr>
          <w:rFonts w:ascii="Arial" w:eastAsia="Arial" w:hAnsi="Arial" w:cs="Arial"/>
          <w:sz w:val="20"/>
          <w:szCs w:val="20"/>
        </w:rPr>
      </w:pPr>
    </w:p>
    <w:p w14:paraId="50036B2C" w14:textId="77777777" w:rsidR="00BE6367" w:rsidRDefault="00BE6367">
      <w:pPr>
        <w:jc w:val="both"/>
        <w:rPr>
          <w:rFonts w:ascii="Arial" w:eastAsia="Arial" w:hAnsi="Arial" w:cs="Arial"/>
          <w:sz w:val="20"/>
          <w:szCs w:val="20"/>
        </w:rPr>
      </w:pPr>
    </w:p>
    <w:p w14:paraId="2E334A3B" w14:textId="77777777" w:rsidR="00BE6367" w:rsidRDefault="00BE6367">
      <w:pPr>
        <w:jc w:val="both"/>
        <w:rPr>
          <w:rFonts w:ascii="Arial" w:eastAsia="Arial" w:hAnsi="Arial" w:cs="Arial"/>
          <w:sz w:val="20"/>
          <w:szCs w:val="20"/>
        </w:rPr>
      </w:pPr>
    </w:p>
    <w:p w14:paraId="00B38BB6"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Ficha Técnica de Negociación</w:t>
      </w:r>
    </w:p>
    <w:p w14:paraId="0303632B" w14:textId="77777777" w:rsidR="00BE6367" w:rsidRDefault="00BE6367">
      <w:pPr>
        <w:jc w:val="both"/>
        <w:rPr>
          <w:rFonts w:ascii="Arial" w:eastAsia="Arial" w:hAnsi="Arial" w:cs="Arial"/>
          <w:sz w:val="20"/>
          <w:szCs w:val="20"/>
        </w:rPr>
      </w:pPr>
    </w:p>
    <w:p w14:paraId="340015E1" w14:textId="77777777" w:rsidR="00BE6367" w:rsidRDefault="00BE6367">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p>
    <w:p w14:paraId="025432FE" w14:textId="77777777" w:rsidR="00BE6367" w:rsidRDefault="00C90F6A">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r>
        <w:rPr>
          <w:rFonts w:ascii="Arial" w:eastAsia="Arial" w:hAnsi="Arial" w:cs="Arial"/>
          <w:sz w:val="20"/>
          <w:szCs w:val="20"/>
        </w:rPr>
        <w:t>Adjunto observaciones</w:t>
      </w:r>
    </w:p>
    <w:p w14:paraId="7334E1B8" w14:textId="77777777" w:rsidR="00BE6367" w:rsidRDefault="00BE6367">
      <w:pPr>
        <w:jc w:val="both"/>
        <w:rPr>
          <w:rFonts w:ascii="Arial" w:eastAsia="Arial" w:hAnsi="Arial" w:cs="Arial"/>
          <w:sz w:val="20"/>
          <w:szCs w:val="20"/>
        </w:rPr>
      </w:pPr>
    </w:p>
    <w:p w14:paraId="4EC4552E" w14:textId="77777777" w:rsidR="00BE6367" w:rsidRDefault="00BE6367">
      <w:pPr>
        <w:jc w:val="both"/>
        <w:rPr>
          <w:rFonts w:ascii="Arial" w:eastAsia="Arial" w:hAnsi="Arial" w:cs="Arial"/>
          <w:sz w:val="20"/>
          <w:szCs w:val="20"/>
        </w:rPr>
      </w:pPr>
    </w:p>
    <w:p w14:paraId="5D04AC49"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Documento(s) Adjunto(s): Sí</w:t>
      </w:r>
    </w:p>
    <w:p w14:paraId="17525FE9" w14:textId="77777777" w:rsidR="00BE6367" w:rsidRDefault="00BE6367">
      <w:pPr>
        <w:jc w:val="both"/>
        <w:rPr>
          <w:rFonts w:ascii="Arial" w:eastAsia="Arial" w:hAnsi="Arial" w:cs="Arial"/>
          <w:sz w:val="20"/>
          <w:szCs w:val="20"/>
        </w:rPr>
      </w:pPr>
    </w:p>
    <w:p w14:paraId="4E363CFE" w14:textId="77777777" w:rsidR="00BE6367" w:rsidRDefault="00C90F6A">
      <w:pPr>
        <w:jc w:val="both"/>
        <w:rPr>
          <w:rFonts w:ascii="Arial" w:eastAsia="Arial" w:hAnsi="Arial" w:cs="Arial"/>
          <w:b/>
          <w:bCs/>
          <w:sz w:val="20"/>
          <w:szCs w:val="20"/>
        </w:rPr>
      </w:pPr>
      <w:r>
        <w:rPr>
          <w:rFonts w:ascii="Arial" w:eastAsia="Arial" w:hAnsi="Arial" w:cs="Arial"/>
          <w:b/>
          <w:bCs/>
          <w:sz w:val="20"/>
          <w:szCs w:val="20"/>
        </w:rPr>
        <w:lastRenderedPageBreak/>
        <w:t>Observación 1</w:t>
      </w:r>
    </w:p>
    <w:p w14:paraId="11CEC3D4" w14:textId="77777777" w:rsidR="00BE6367" w:rsidRDefault="00C90F6A">
      <w:pPr>
        <w:jc w:val="both"/>
        <w:rPr>
          <w:rFonts w:ascii="Arial" w:eastAsia="Arial" w:hAnsi="Arial" w:cs="Arial"/>
          <w:sz w:val="20"/>
          <w:szCs w:val="20"/>
        </w:rPr>
      </w:pPr>
      <w:r>
        <w:rPr>
          <w:rFonts w:ascii="Arial" w:eastAsia="Arial" w:hAnsi="Arial" w:cs="Arial"/>
          <w:sz w:val="20"/>
          <w:szCs w:val="20"/>
        </w:rPr>
        <w:t>En el documento Ficha técnica de negociación, MODALIDAD DE EXPERIENCIA A TRAVES DE CERTIFICACIONES, se solicita: Presentar contratosS/certificaciones finalizados a la fecha de presentación de los documentos en el cual certifique que ha realizado al menos una implementación en los últimos cinco (5) años de plataformas de software de gestión de audiencias o sesiones en entidades públicas, judiciales, legislativas o corporativas.</w:t>
      </w:r>
    </w:p>
    <w:p w14:paraId="443B508A" w14:textId="77777777" w:rsidR="00BE6367" w:rsidRDefault="00C90F6A">
      <w:pPr>
        <w:jc w:val="both"/>
        <w:rPr>
          <w:rFonts w:ascii="Arial" w:eastAsia="Arial" w:hAnsi="Arial" w:cs="Arial"/>
          <w:sz w:val="20"/>
          <w:szCs w:val="20"/>
        </w:rPr>
      </w:pPr>
      <w:r>
        <w:rPr>
          <w:rFonts w:ascii="Arial" w:eastAsia="Arial" w:hAnsi="Arial" w:cs="Arial"/>
          <w:sz w:val="20"/>
          <w:szCs w:val="20"/>
        </w:rPr>
        <w:t>El objeto contractual definido en el proceso corresponde principalmente a la adquisición, implementación y soporte tecnológico de soluciones audiovisuales, equipos de cómputo y periféricos, siendo la mayor cuantía destinada a la compra de equipos de cómputo.</w:t>
      </w:r>
    </w:p>
    <w:p w14:paraId="328DA4A3" w14:textId="77777777" w:rsidR="00BE6367" w:rsidRDefault="00C90F6A">
      <w:pPr>
        <w:jc w:val="both"/>
        <w:rPr>
          <w:rFonts w:ascii="Arial" w:eastAsia="Arial" w:hAnsi="Arial" w:cs="Arial"/>
          <w:sz w:val="20"/>
          <w:szCs w:val="20"/>
        </w:rPr>
      </w:pPr>
      <w:r>
        <w:rPr>
          <w:rFonts w:ascii="Arial" w:eastAsia="Arial" w:hAnsi="Arial" w:cs="Arial"/>
          <w:sz w:val="20"/>
          <w:szCs w:val="20"/>
        </w:rPr>
        <w:t>Sin embargo, el pliego exige como requisito de experiencia la acreditación de contratos finalizados en los últimos cinco (5) años relacionados con la implementación de plataformas de software de gestión de audiencias o sesiones en entidades públicas, judiciales, legislativas o corporativas.</w:t>
      </w:r>
    </w:p>
    <w:p w14:paraId="7EF1C745" w14:textId="77777777" w:rsidR="00BE6367" w:rsidRDefault="00C90F6A">
      <w:pPr>
        <w:jc w:val="both"/>
        <w:rPr>
          <w:rFonts w:ascii="Arial" w:eastAsia="Arial" w:hAnsi="Arial" w:cs="Arial"/>
          <w:sz w:val="20"/>
          <w:szCs w:val="20"/>
        </w:rPr>
      </w:pPr>
      <w:r>
        <w:rPr>
          <w:rFonts w:ascii="Arial" w:eastAsia="Arial" w:hAnsi="Arial" w:cs="Arial"/>
          <w:sz w:val="20"/>
          <w:szCs w:val="20"/>
        </w:rPr>
        <w:t>Este requisito resulta restrictivo y desproporcionado, en la medida en que:</w:t>
      </w:r>
    </w:p>
    <w:p w14:paraId="1C769BE7" w14:textId="77777777" w:rsidR="00BE6367" w:rsidRDefault="00BE6367">
      <w:pPr>
        <w:jc w:val="both"/>
        <w:rPr>
          <w:rFonts w:ascii="Arial" w:eastAsia="Arial" w:hAnsi="Arial" w:cs="Arial"/>
          <w:sz w:val="20"/>
          <w:szCs w:val="20"/>
        </w:rPr>
      </w:pPr>
    </w:p>
    <w:p w14:paraId="0D47ADE2" w14:textId="77777777" w:rsidR="00BE6367" w:rsidRDefault="00C90F6A">
      <w:pPr>
        <w:numPr>
          <w:ilvl w:val="0"/>
          <w:numId w:val="50"/>
        </w:numPr>
        <w:spacing w:after="0" w:line="240" w:lineRule="auto"/>
        <w:jc w:val="both"/>
        <w:rPr>
          <w:rFonts w:ascii="Arial" w:eastAsia="Arial" w:hAnsi="Arial" w:cs="Arial"/>
        </w:rPr>
      </w:pPr>
      <w:r>
        <w:rPr>
          <w:rFonts w:ascii="Arial" w:eastAsia="Arial" w:hAnsi="Arial" w:cs="Arial"/>
          <w:sz w:val="20"/>
          <w:szCs w:val="20"/>
        </w:rPr>
        <w:t>Limita injustificadamente la participación de proveedores especializados en hardware y soluciones tecnológicas generales, quienes cuentan con la idoneidad técnica para cumplir con el objeto contractual.</w:t>
      </w:r>
    </w:p>
    <w:p w14:paraId="11E67D16" w14:textId="77777777" w:rsidR="00BE6367" w:rsidRDefault="00C90F6A">
      <w:pPr>
        <w:numPr>
          <w:ilvl w:val="0"/>
          <w:numId w:val="50"/>
        </w:numPr>
        <w:spacing w:after="0" w:line="240" w:lineRule="auto"/>
        <w:jc w:val="both"/>
        <w:rPr>
          <w:rFonts w:ascii="Arial" w:eastAsia="Arial" w:hAnsi="Arial" w:cs="Arial"/>
        </w:rPr>
      </w:pPr>
      <w:r>
        <w:rPr>
          <w:rFonts w:ascii="Arial" w:eastAsia="Arial" w:hAnsi="Arial" w:cs="Arial"/>
          <w:sz w:val="20"/>
          <w:szCs w:val="20"/>
        </w:rPr>
        <w:t>Contraviene los principios de pluralidad de oferentes, libre concurrencia y selección objetiva previstos en la Ley 80 de 1993 y la Ley 1150 de 2007, al exigir una experiencia específica que no es esencial para garantizar la correcta ejecución del contrato.</w:t>
      </w:r>
    </w:p>
    <w:p w14:paraId="5259817E" w14:textId="77777777" w:rsidR="00BE6367" w:rsidRDefault="00C90F6A">
      <w:pPr>
        <w:numPr>
          <w:ilvl w:val="0"/>
          <w:numId w:val="50"/>
        </w:numPr>
        <w:spacing w:after="0" w:line="240" w:lineRule="auto"/>
        <w:jc w:val="both"/>
        <w:rPr>
          <w:rFonts w:ascii="Arial" w:eastAsia="Arial" w:hAnsi="Arial" w:cs="Arial"/>
        </w:rPr>
      </w:pPr>
      <w:r>
        <w:rPr>
          <w:rFonts w:ascii="Arial" w:eastAsia="Arial" w:hAnsi="Arial" w:cs="Arial"/>
          <w:sz w:val="20"/>
          <w:szCs w:val="20"/>
        </w:rPr>
        <w:t>Genera un sesgo hacia un reducido grupo de proveedores que han implementado plataformas de gestión de audiencias, restringiendo la competencia en un proceso cuyo núcleo es la provisión de equipos de cómputo.</w:t>
      </w:r>
    </w:p>
    <w:p w14:paraId="4EC9AA12" w14:textId="77777777" w:rsidR="00BE6367" w:rsidRDefault="00BE6367">
      <w:pPr>
        <w:jc w:val="both"/>
        <w:rPr>
          <w:rFonts w:ascii="Arial" w:eastAsia="Arial" w:hAnsi="Arial" w:cs="Arial"/>
          <w:sz w:val="20"/>
          <w:szCs w:val="20"/>
        </w:rPr>
      </w:pPr>
    </w:p>
    <w:p w14:paraId="298E5293" w14:textId="77777777" w:rsidR="00BE6367" w:rsidRDefault="00C90F6A">
      <w:pPr>
        <w:jc w:val="both"/>
        <w:rPr>
          <w:rFonts w:ascii="Arial" w:eastAsia="Arial" w:hAnsi="Arial" w:cs="Arial"/>
          <w:sz w:val="20"/>
          <w:szCs w:val="20"/>
        </w:rPr>
      </w:pPr>
      <w:r>
        <w:rPr>
          <w:rFonts w:ascii="Arial" w:eastAsia="Arial" w:hAnsi="Arial" w:cs="Arial"/>
          <w:sz w:val="20"/>
          <w:szCs w:val="20"/>
        </w:rPr>
        <w:t>En consecuencia, se solicita la modificación o eliminación del requisito de experiencia, de manera que se garantice la participación amplia y competitiva de oferentes idóneos, en cumplimiento de los principios de transparencia y economía de la contratación estatal.</w:t>
      </w:r>
    </w:p>
    <w:p w14:paraId="5402A9AB" w14:textId="77777777" w:rsidR="00BE6367" w:rsidRDefault="00BE6367">
      <w:pPr>
        <w:jc w:val="both"/>
        <w:rPr>
          <w:rFonts w:ascii="Arial" w:eastAsia="Arial" w:hAnsi="Arial" w:cs="Arial"/>
          <w:sz w:val="20"/>
          <w:szCs w:val="20"/>
        </w:rPr>
      </w:pPr>
    </w:p>
    <w:p w14:paraId="0533DDEA"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31D516DA" w14:textId="77777777" w:rsidR="00BE6367" w:rsidRDefault="00C90F6A">
      <w:pPr>
        <w:jc w:val="both"/>
        <w:rPr>
          <w:rFonts w:ascii="Arial" w:eastAsia="Arial" w:hAnsi="Arial" w:cs="Arial"/>
          <w:sz w:val="20"/>
          <w:szCs w:val="20"/>
        </w:rPr>
      </w:pPr>
      <w:r>
        <w:rPr>
          <w:rFonts w:ascii="Arial" w:eastAsia="Arial" w:hAnsi="Arial" w:cs="Arial"/>
          <w:sz w:val="20"/>
          <w:szCs w:val="20"/>
        </w:rPr>
        <w:t>No se acepta la observación. La Entidad mantiene el periodo de acreditación de experiencia en cinco (5) años para las plataformas de software de gestión de audiencias o sesiones, por considerar que dicho periodo resulta razonable y suficiente para garantizar que el proponente adjudicatario cuente con experiencia reciente en tecnologías vigentes, en un segmento de mercado —el de plataformas de gestión de audiencias y sesiones— caracterizado por actualizaciones normativas y funcionales frecuentes (v. gr., nuevos protocolos de seguridad, integración con sistemas de expediente judicial electrónico, requisitos de accesibilidad e interoperabilidad), que hacen conveniente privilegiar la experiencia más reciente frente a la posibilidad de acreditar implementaciones de mayor antigüedad cuya vigencia funcional actual no resulta verificable en esta etapa del proceso.</w:t>
      </w:r>
    </w:p>
    <w:p w14:paraId="56DA6F8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 xml:space="preserve">Lo anterior, sin perjuicio de precisar que el requisito no exige que la totalidad de la experiencia del proponente se circunscribe a dicho periodo, sino que, cuando menos, una (1) de las certificaciones aportadas corresponda a una implementación ejecutada dentro de los últimos cinco (5) años, pudiendo el proponente acreditar experiencia adicional con implementaciones </w:t>
      </w:r>
      <w:r>
        <w:rPr>
          <w:rFonts w:ascii="Arial" w:eastAsia="Arial" w:hAnsi="Arial" w:cs="Arial"/>
          <w:sz w:val="20"/>
          <w:szCs w:val="20"/>
        </w:rPr>
        <w:lastRenderedPageBreak/>
        <w:t>de mayor antigüedad para efectos de los demás requisitos de experiencia general que resulten aplicables.</w:t>
      </w:r>
    </w:p>
    <w:p w14:paraId="14F66392" w14:textId="77777777" w:rsidR="00BE6367" w:rsidRDefault="00C90F6A">
      <w:pPr>
        <w:spacing w:before="240" w:after="240"/>
        <w:jc w:val="both"/>
        <w:rPr>
          <w:rFonts w:ascii="Arial" w:eastAsia="Arial" w:hAnsi="Arial" w:cs="Arial"/>
          <w:b/>
          <w:bCs/>
          <w:sz w:val="20"/>
          <w:szCs w:val="20"/>
        </w:rPr>
      </w:pPr>
      <w:r>
        <w:rPr>
          <w:rFonts w:ascii="Arial" w:eastAsia="Arial" w:hAnsi="Arial" w:cs="Arial"/>
          <w:sz w:val="20"/>
          <w:szCs w:val="20"/>
        </w:rPr>
        <w:t>En consecuencia, se mantiene el requisito en los términos definidos en la ficha técnica (FTN).</w:t>
      </w:r>
    </w:p>
    <w:p w14:paraId="4B56885E" w14:textId="77777777" w:rsidR="00BE6367" w:rsidRDefault="00C90F6A">
      <w:pPr>
        <w:jc w:val="both"/>
        <w:rPr>
          <w:rFonts w:ascii="Arial" w:eastAsia="Arial" w:hAnsi="Arial" w:cs="Arial"/>
          <w:sz w:val="20"/>
          <w:szCs w:val="20"/>
        </w:rPr>
      </w:pPr>
      <w:r>
        <w:rPr>
          <w:rFonts w:ascii="Arial" w:eastAsia="Arial" w:hAnsi="Arial" w:cs="Arial"/>
          <w:b/>
          <w:bCs/>
          <w:sz w:val="20"/>
          <w:szCs w:val="20"/>
        </w:rPr>
        <w:t>Observación 2</w:t>
      </w:r>
    </w:p>
    <w:p w14:paraId="51BA5E0E" w14:textId="77777777" w:rsidR="00BE6367" w:rsidRDefault="00C90F6A">
      <w:pPr>
        <w:jc w:val="both"/>
        <w:rPr>
          <w:rFonts w:ascii="Arial" w:eastAsia="Arial" w:hAnsi="Arial" w:cs="Arial"/>
          <w:sz w:val="20"/>
          <w:szCs w:val="20"/>
        </w:rPr>
      </w:pPr>
      <w:r>
        <w:rPr>
          <w:rFonts w:ascii="Arial" w:eastAsia="Arial" w:hAnsi="Arial" w:cs="Arial"/>
          <w:sz w:val="20"/>
          <w:szCs w:val="20"/>
        </w:rPr>
        <w:t>En el documento Ficha técnica de negociación, MODALIDAD DE EXPERIENCIA A TRAVES DE CERTIFICACIONES, se solicita: Presentar contratos/certificaciones finalizados a la fecha de presentación de los documentos en el cual certifique que ha realizado al menos una implementación en los últimos cinco (5) años de plataformas de software de gestión de audiencias o sesiones en entidades públicas, judiciales, legislativas o corporativas.</w:t>
      </w:r>
    </w:p>
    <w:p w14:paraId="75B72C1B" w14:textId="77777777" w:rsidR="00BE6367" w:rsidRDefault="00C90F6A">
      <w:pPr>
        <w:jc w:val="both"/>
        <w:rPr>
          <w:rFonts w:ascii="Arial" w:eastAsia="Arial" w:hAnsi="Arial" w:cs="Arial"/>
          <w:sz w:val="20"/>
          <w:szCs w:val="20"/>
        </w:rPr>
      </w:pPr>
      <w:r>
        <w:rPr>
          <w:rFonts w:ascii="Arial" w:eastAsia="Arial" w:hAnsi="Arial" w:cs="Arial"/>
          <w:sz w:val="20"/>
          <w:szCs w:val="20"/>
        </w:rPr>
        <w:t>En caso de que la entidad se mantenga en la solicitud del certificado de experiencia, nos permitimos solicitar aclarar a qué se refieren con sesiones. Para acreditar esta experiencia son válidos montajes de sistemas de videoconferencias, o de sesiones en línea tipo Microsoft Teams o Zoom?</w:t>
      </w:r>
    </w:p>
    <w:p w14:paraId="0F23ECAA"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703AFC1D" w14:textId="77777777" w:rsidR="00BE6367" w:rsidRDefault="00C90F6A">
      <w:pPr>
        <w:jc w:val="both"/>
        <w:rPr>
          <w:rFonts w:ascii="Arial" w:eastAsia="Arial" w:hAnsi="Arial" w:cs="Arial"/>
          <w:sz w:val="20"/>
          <w:szCs w:val="20"/>
        </w:rPr>
      </w:pPr>
      <w:r>
        <w:rPr>
          <w:rFonts w:ascii="Arial" w:eastAsia="Arial" w:hAnsi="Arial" w:cs="Arial"/>
          <w:sz w:val="20"/>
          <w:szCs w:val="20"/>
        </w:rPr>
        <w:t>No se acepta la observación. La Entidad mantiene el periodo de acreditación de experiencia en cinco (5) años para las plataformas de software de gestión de audiencias o sesiones, por considerar que dicho periodo resulta razonable y suficiente para garantizar que el proponente adjudicatario cuente con experiencia reciente en tecnologías vigentes, en un segmento de mercado —el de plataformas de gestión de audiencias y sesiones— caracterizado por actualizaciones normativas y funcionales frecuentes (v. gr., nuevos protocolos de seguridad, integración con sistemas de expediente judicial electrónico, requisitos de accesibilidad e interoperabilidad), que hacen conveniente privilegiar la experiencia más reciente frente a la posibilidad de acreditar implementaciones de mayor antigüedad cuya vigencia funcional actual no resulta verificable en esta etapa del proceso.</w:t>
      </w:r>
    </w:p>
    <w:p w14:paraId="21E6D3E1"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Lo anterior, sin perjuicio de precisar que el requisito no exige que la totalidad de la experiencia del proponente se circunscribe a dicho periodo, sino que, cuando menos, una (1) de las certificaciones aportadas corresponda a una implementación ejecutada dentro de los últimos cinco (5) años, pudiendo el proponente acreditar experiencia adicional con implementaciones de mayor antigüedad para efectos de los demás requisitos de experiencia general que resulten aplicables.</w:t>
      </w:r>
    </w:p>
    <w:p w14:paraId="2F5B3595" w14:textId="77777777" w:rsidR="00BE6367" w:rsidRDefault="00C90F6A">
      <w:pPr>
        <w:spacing w:before="240" w:after="240"/>
        <w:jc w:val="both"/>
        <w:rPr>
          <w:rFonts w:ascii="Arial" w:eastAsia="Arial" w:hAnsi="Arial" w:cs="Arial"/>
          <w:b/>
          <w:bCs/>
          <w:sz w:val="20"/>
          <w:szCs w:val="20"/>
        </w:rPr>
      </w:pPr>
      <w:r>
        <w:rPr>
          <w:rFonts w:ascii="Arial" w:eastAsia="Arial" w:hAnsi="Arial" w:cs="Arial"/>
          <w:sz w:val="20"/>
          <w:szCs w:val="20"/>
        </w:rPr>
        <w:t>En consecuencia, se mantiene el requisito en los términos definidos en la ficha técnica (FTN).</w:t>
      </w:r>
    </w:p>
    <w:p w14:paraId="59235C9C" w14:textId="77777777" w:rsidR="00BE6367" w:rsidRDefault="00C90F6A">
      <w:pPr>
        <w:jc w:val="both"/>
        <w:rPr>
          <w:rFonts w:ascii="Arial" w:eastAsia="Arial" w:hAnsi="Arial" w:cs="Arial"/>
          <w:sz w:val="20"/>
          <w:szCs w:val="20"/>
        </w:rPr>
      </w:pPr>
      <w:r>
        <w:rPr>
          <w:rFonts w:ascii="Arial" w:eastAsia="Arial" w:hAnsi="Arial" w:cs="Arial"/>
          <w:b/>
          <w:bCs/>
          <w:sz w:val="20"/>
          <w:szCs w:val="20"/>
        </w:rPr>
        <w:t>Observación 3</w:t>
      </w:r>
    </w:p>
    <w:p w14:paraId="3CA4B173"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En la ficha de negociación, 4. CERTIFICACION DE FABRICANTE, se solicita: Que el comitente vendedor cuenta con personal técnico certificado por el fabricante en la instalación, configuración, integración y mantenimiento de los equipos: Unidad central de conferencia (item 39), micrófono 50 cm (item 40) , unidad de presidente (item 41), unidad de delegado (item 42) </w:t>
      </w:r>
    </w:p>
    <w:p w14:paraId="15386E62" w14:textId="77777777" w:rsidR="00BE6367" w:rsidRDefault="00C90F6A">
      <w:pPr>
        <w:jc w:val="both"/>
        <w:rPr>
          <w:rFonts w:ascii="Arial" w:eastAsia="Arial" w:hAnsi="Arial" w:cs="Arial"/>
          <w:sz w:val="20"/>
          <w:szCs w:val="20"/>
        </w:rPr>
      </w:pPr>
      <w:r>
        <w:rPr>
          <w:rFonts w:ascii="Arial" w:eastAsia="Arial" w:hAnsi="Arial" w:cs="Arial"/>
          <w:sz w:val="20"/>
          <w:szCs w:val="20"/>
        </w:rPr>
        <w:t>Este requisito resulta restrictivo y contrario a los principios de pluralidad de oferentes y selección objetiva, en la medida en que no guarda proporcionalidad con el objeto contractual, que es la adquisición e implementación de soluciones tecnológicas y equipos de cómputo, siendo la mayor cuantía destinada a dichos equipos. Limita injustificadamente la participación de oferentes idóneos que cuentan con experiencia comprobada en instalación y soporte de equipos similares, aunque no posean certificación directa del fabricante.</w:t>
      </w:r>
    </w:p>
    <w:p w14:paraId="30EF64C4"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 xml:space="preserve">Genera un cierre del mercado hacia distribuidores exclusivos o integradores con acceso a certificaciones específicas, restringiendo la libre concurrencia prevista en la Ley 80 de 1993 y la Ley 1150 de 2007. La exigencia de certificación del fabricante no es un estándar obligatorio en la normativa técnica nacional ni internacional para garantizar la correcta instalación y funcionamiento de estos equipos.  </w:t>
      </w:r>
    </w:p>
    <w:p w14:paraId="6AF991C3" w14:textId="77777777" w:rsidR="00BE6367" w:rsidRDefault="00C90F6A">
      <w:pPr>
        <w:jc w:val="both"/>
        <w:rPr>
          <w:rFonts w:ascii="Arial" w:eastAsia="Arial" w:hAnsi="Arial" w:cs="Arial"/>
          <w:sz w:val="20"/>
          <w:szCs w:val="20"/>
        </w:rPr>
      </w:pPr>
      <w:r>
        <w:rPr>
          <w:rFonts w:ascii="Arial" w:eastAsia="Arial" w:hAnsi="Arial" w:cs="Arial"/>
          <w:sz w:val="20"/>
          <w:szCs w:val="20"/>
        </w:rPr>
        <w:t>En consecuencia, se solicita la eliminación de este requisito, o que se pueda certificar mediante una carta expedida por el representante legal del oferente en el que garantice el cumplimiento del requerimiento.</w:t>
      </w:r>
    </w:p>
    <w:p w14:paraId="0359C886" w14:textId="77777777" w:rsidR="00BE6367" w:rsidRDefault="00BE6367">
      <w:pPr>
        <w:jc w:val="both"/>
        <w:rPr>
          <w:rFonts w:ascii="Arial" w:eastAsia="Arial" w:hAnsi="Arial" w:cs="Arial"/>
          <w:sz w:val="20"/>
          <w:szCs w:val="20"/>
        </w:rPr>
      </w:pPr>
    </w:p>
    <w:p w14:paraId="266E78B3"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RESPUESTA A OBSERVACIÓN:</w:t>
      </w:r>
    </w:p>
    <w:p w14:paraId="7719317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se acepta la observación. En relación con el argumento de desproporción presupuestal, la Entidad reitera lo ya expresado frente a una observación similar formulada dentro del presente proceso: la exigencia de certificación de personal técnico para los ítems 39 a 42 no se definió con base en el porcentaje que dichos ítems representan frente al presupuesto total de la negociación, sino en la funcionalidad e importancia crítica que estas soluciones tienen para la operación de la Entidad, particularmente en las salas de audiencias y videoconferencia, cuya correcta instalación, configuración e integración exige personal con conocimientos técnicos especializados, certificados directamente por el fabricante, dada la complejidad y el carácter especializado de dichas soluciones.</w:t>
      </w:r>
    </w:p>
    <w:p w14:paraId="1C8B4BD1"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Frente a la solicitud subsidiaria de admitir, en reemplazo de la certificación del fabricante, una carta expedida por el representante legal del propio oferente que garantice el cumplimiento del requisito, la Entidad tampoco la acoge, por cuanto dicho mecanismo constituye una manifestación unilateral del propio interesado, sin verificación por parte de un tercero independiente (el fabricante o su cadena de distribución autorizada), lo cual desnaturalizaría la finalidad objetiva del requisito, consistente en acreditar, mediante un tercero ajeno al proponente, la idoneidad técnica real del personal para la instalación, configuración, integración y mantenimiento de estas soluciones especializadas. Admitir una autocertificación equivaldría, en la práctica, a eliminar el mecanismo de verificación externa que la Entidad considera necesario para mitigar los riesgos técnicos y operativos asociados a la ejecución del contrato.</w:t>
      </w:r>
    </w:p>
    <w:p w14:paraId="26E86393"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se mantiene el requerimiento de certificación de fabricante y de personal técnico certificado en los términos definidos en el FTN, sin las</w:t>
      </w:r>
    </w:p>
    <w:p w14:paraId="3C40BF4A" w14:textId="77777777" w:rsidR="00BE6367" w:rsidRDefault="00C90F6A">
      <w:pPr>
        <w:jc w:val="both"/>
        <w:rPr>
          <w:rFonts w:ascii="Arial" w:eastAsia="Arial" w:hAnsi="Arial" w:cs="Arial"/>
          <w:sz w:val="20"/>
          <w:szCs w:val="20"/>
        </w:rPr>
      </w:pPr>
      <w:r>
        <w:rPr>
          <w:rFonts w:ascii="Arial" w:eastAsia="Arial" w:hAnsi="Arial" w:cs="Arial"/>
          <w:b/>
          <w:bCs/>
          <w:sz w:val="20"/>
          <w:szCs w:val="20"/>
        </w:rPr>
        <w:t>Observación 4</w:t>
      </w:r>
    </w:p>
    <w:p w14:paraId="1AF75F43" w14:textId="77777777" w:rsidR="00BE6367" w:rsidRDefault="00C90F6A">
      <w:pPr>
        <w:ind w:left="34" w:right="40"/>
        <w:jc w:val="both"/>
        <w:rPr>
          <w:rFonts w:ascii="Arial" w:eastAsia="Arial" w:hAnsi="Arial" w:cs="Arial"/>
          <w:sz w:val="20"/>
          <w:szCs w:val="20"/>
        </w:rPr>
      </w:pPr>
      <w:r>
        <w:rPr>
          <w:rFonts w:ascii="Arial" w:eastAsia="Arial" w:hAnsi="Arial" w:cs="Arial"/>
          <w:sz w:val="20"/>
          <w:szCs w:val="20"/>
        </w:rPr>
        <w:t xml:space="preserve">En la ficha de negociación, 4. CERTIFICACION DE FABRICANTE, se solicita: Adicionalmente, para garantizar la experiencia del personal técnico en las soluciones de video profesional,  El comitente vendedor deberá presentar certificación del fabricante de la solución de los items (34) Cámara PTZ y item (35) </w:t>
      </w:r>
      <w:r>
        <w:rPr>
          <w:rFonts w:ascii="Arial" w:eastAsia="Arial" w:hAnsi="Arial" w:cs="Arial"/>
          <w:color w:val="000000"/>
          <w:sz w:val="20"/>
          <w:szCs w:val="20"/>
        </w:rPr>
        <w:t>SOLUCIÓN DE CONMUTACIÓN MULTICÁMARA</w:t>
      </w:r>
      <w:r>
        <w:rPr>
          <w:rFonts w:ascii="Arial" w:eastAsia="Arial" w:hAnsi="Arial" w:cs="Arial"/>
          <w:sz w:val="20"/>
          <w:szCs w:val="20"/>
        </w:rPr>
        <w:t xml:space="preserve">  que acredite a un profesional que haga parte de su empresa en:</w:t>
      </w:r>
    </w:p>
    <w:p w14:paraId="1F0E5DF7" w14:textId="77777777" w:rsidR="00BE6367" w:rsidRDefault="00C90F6A">
      <w:pPr>
        <w:ind w:left="34" w:right="40"/>
        <w:jc w:val="both"/>
        <w:rPr>
          <w:rFonts w:ascii="Arial" w:eastAsia="Arial" w:hAnsi="Arial" w:cs="Arial"/>
          <w:sz w:val="20"/>
          <w:szCs w:val="20"/>
        </w:rPr>
      </w:pPr>
      <w:r>
        <w:rPr>
          <w:rFonts w:ascii="Arial" w:eastAsia="Arial" w:hAnsi="Arial" w:cs="Arial"/>
          <w:sz w:val="20"/>
          <w:szCs w:val="20"/>
        </w:rPr>
        <w:t>a) Competencias en el diseño de soluciones de video inteligente.</w:t>
      </w:r>
    </w:p>
    <w:p w14:paraId="0537914B" w14:textId="77777777" w:rsidR="00BE6367" w:rsidRDefault="00C90F6A">
      <w:pPr>
        <w:ind w:left="34" w:right="40"/>
        <w:jc w:val="both"/>
        <w:rPr>
          <w:rFonts w:ascii="Arial" w:eastAsia="Arial" w:hAnsi="Arial" w:cs="Arial"/>
          <w:sz w:val="20"/>
          <w:szCs w:val="20"/>
        </w:rPr>
      </w:pPr>
      <w:r>
        <w:rPr>
          <w:rFonts w:ascii="Arial" w:eastAsia="Arial" w:hAnsi="Arial" w:cs="Arial"/>
          <w:sz w:val="20"/>
          <w:szCs w:val="20"/>
        </w:rPr>
        <w:t>b) Competencias en la ingeniería de las soluciones de video inteligente.</w:t>
      </w:r>
    </w:p>
    <w:p w14:paraId="3FCDA571"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Este requisito resulta restrictivo y contrario a los principios de pluralidad de oferentes y selección objetiva, en la medida en que no guarda proporcionalidad con el objeto contractual, que es la adquisición e implementación de soluciones tecnológicas y equipos de cómputo, siendo la mayor cuantía destinada a dichos equipos. Limita injustificadamente la participación </w:t>
      </w:r>
      <w:r>
        <w:rPr>
          <w:rFonts w:ascii="Arial" w:eastAsia="Arial" w:hAnsi="Arial" w:cs="Arial"/>
          <w:sz w:val="20"/>
          <w:szCs w:val="20"/>
        </w:rPr>
        <w:lastRenderedPageBreak/>
        <w:t>de oferentes idóneos que cuentan con experiencia comprobada en instalación y soporte de equipos similares, aunque no posean certificación directa del fabricante.</w:t>
      </w:r>
    </w:p>
    <w:p w14:paraId="4F50A68F" w14:textId="77777777" w:rsidR="00BE6367" w:rsidRDefault="00BE6367">
      <w:pPr>
        <w:jc w:val="both"/>
        <w:rPr>
          <w:rFonts w:ascii="Arial" w:eastAsia="Arial" w:hAnsi="Arial" w:cs="Arial"/>
          <w:sz w:val="20"/>
          <w:szCs w:val="20"/>
        </w:rPr>
      </w:pPr>
    </w:p>
    <w:p w14:paraId="641292DD" w14:textId="77777777" w:rsidR="00BE6367" w:rsidRDefault="00C90F6A">
      <w:pPr>
        <w:jc w:val="both"/>
        <w:rPr>
          <w:rFonts w:ascii="Arial" w:eastAsia="Arial" w:hAnsi="Arial" w:cs="Arial"/>
          <w:sz w:val="20"/>
          <w:szCs w:val="20"/>
        </w:rPr>
      </w:pPr>
      <w:r>
        <w:rPr>
          <w:rFonts w:ascii="Arial" w:eastAsia="Arial" w:hAnsi="Arial" w:cs="Arial"/>
          <w:sz w:val="20"/>
          <w:szCs w:val="20"/>
        </w:rPr>
        <w:t>En consecuencia, se solicita la eliminación de este requisito, o que se pueda certificar mediante una carta expedida por el representante legal del oferente en el que garantice el cumplimiento del requerimiento.</w:t>
      </w:r>
    </w:p>
    <w:p w14:paraId="37991D19" w14:textId="77777777" w:rsidR="00BE6367" w:rsidRDefault="00BE6367">
      <w:pPr>
        <w:jc w:val="both"/>
        <w:rPr>
          <w:rFonts w:ascii="Arial" w:eastAsia="Arial" w:hAnsi="Arial" w:cs="Arial"/>
          <w:b/>
          <w:bCs/>
          <w:sz w:val="20"/>
          <w:szCs w:val="20"/>
        </w:rPr>
      </w:pPr>
    </w:p>
    <w:p w14:paraId="07FE28BE"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RESPUESTA A OBSERVACIÓN:</w:t>
      </w:r>
    </w:p>
    <w:p w14:paraId="3C6DC0A3"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se acepta la observación. La Entidad mantiene el requerimiento para garantizar que el comitente vendedor cuente con personal técnico idóneo, acreditado directamente por el fabricante, en competencias de diseño e ingeniería de soluciones de video inteligente para los ítems 34 (Cámara PTZ) y 35 (Solución de Conmutación Multicámara), por tratarse de componentes especializados cuya correcta configuración e integración requiere de conocimientos técnicos específicos, certificados por quien desarrolla la tecnología.</w:t>
      </w:r>
    </w:p>
    <w:p w14:paraId="59840F38"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relación con el argumento de desproporción presupuestal, la Entidad reitera lo ya expresado frente a observaciones similares formuladas dentro del presente proceso: la exigencia no se definió con base en el porcentaje que estos ítems representan frente al presupuesto total de la negociación, sino en la funcionalidad e importancia crítica que dichas soluciones tienen para la operación de la Entidad, lo cual justifica la certificación especializada exigida con independencia de su cuantía relativa dentro del proceso.</w:t>
      </w:r>
    </w:p>
    <w:p w14:paraId="3A48C7A9"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Frente a la solicitud de admitir, en reemplazo de la certificación del fabricante, una carta expedida por el representante legal del propio oferente que garantice el cumplimiento del requisito, la Entidad tampoco la acoge, por cuanto dicho mecanismo constituye una manifestación unilateral del propio interesado, sin verificación por parte de un tercero independiente (el fabricante), lo cual desnaturalizaría la finalidad objetiva del requisito, que es acreditar, mediante un tercero ajeno al proponente, la idoneidad técnica real del profesional para el diseño e ingeniería de estas soluciones especializadas.</w:t>
      </w:r>
    </w:p>
    <w:p w14:paraId="152082F4" w14:textId="77777777" w:rsidR="00BE6367" w:rsidRDefault="00C90F6A">
      <w:pPr>
        <w:spacing w:before="240" w:after="240"/>
        <w:jc w:val="both"/>
        <w:rPr>
          <w:rFonts w:ascii="Arial" w:eastAsia="Arial" w:hAnsi="Arial" w:cs="Arial"/>
          <w:b/>
          <w:bCs/>
          <w:sz w:val="20"/>
          <w:szCs w:val="20"/>
        </w:rPr>
      </w:pPr>
      <w:r>
        <w:rPr>
          <w:rFonts w:ascii="Arial" w:eastAsia="Arial" w:hAnsi="Arial" w:cs="Arial"/>
          <w:sz w:val="20"/>
          <w:szCs w:val="20"/>
        </w:rPr>
        <w:t>En consecuencia, se mantiene el requerimiento en los términos definidos en el FTN para los ítems 34 y 35</w:t>
      </w:r>
      <w:r>
        <w:rPr>
          <w:rFonts w:ascii="Arial" w:eastAsia="Arial" w:hAnsi="Arial" w:cs="Arial"/>
          <w:b/>
          <w:bCs/>
          <w:sz w:val="20"/>
          <w:szCs w:val="20"/>
        </w:rPr>
        <w:t>.</w:t>
      </w:r>
    </w:p>
    <w:p w14:paraId="1B4C74FA"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5</w:t>
      </w:r>
    </w:p>
    <w:p w14:paraId="5F306659" w14:textId="77777777" w:rsidR="00BE6367" w:rsidRDefault="00BE6367">
      <w:pPr>
        <w:jc w:val="both"/>
        <w:rPr>
          <w:rFonts w:ascii="Arial" w:eastAsia="Arial" w:hAnsi="Arial" w:cs="Arial"/>
          <w:sz w:val="20"/>
          <w:szCs w:val="20"/>
        </w:rPr>
      </w:pPr>
    </w:p>
    <w:p w14:paraId="5ED341C4"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Ficha Técnica EQUIPOS DE COMPUTO (ALL IN ONE), Instalación. </w:t>
      </w:r>
    </w:p>
    <w:p w14:paraId="698EE972" w14:textId="77777777" w:rsidR="00BE6367" w:rsidRDefault="00BE6367">
      <w:pPr>
        <w:jc w:val="both"/>
        <w:rPr>
          <w:rFonts w:ascii="Arial" w:eastAsia="Arial" w:hAnsi="Arial" w:cs="Arial"/>
          <w:sz w:val="20"/>
          <w:szCs w:val="20"/>
        </w:rPr>
      </w:pPr>
    </w:p>
    <w:p w14:paraId="2A9EB42D" w14:textId="77777777" w:rsidR="00BE6367" w:rsidRDefault="00C90F6A">
      <w:pPr>
        <w:jc w:val="both"/>
        <w:rPr>
          <w:rFonts w:ascii="Arial" w:eastAsia="Arial" w:hAnsi="Arial" w:cs="Arial"/>
          <w:sz w:val="20"/>
          <w:szCs w:val="20"/>
        </w:rPr>
      </w:pPr>
      <w:r>
        <w:rPr>
          <w:rFonts w:ascii="Arial" w:eastAsia="Arial" w:hAnsi="Arial" w:cs="Arial"/>
          <w:sz w:val="20"/>
          <w:szCs w:val="20"/>
        </w:rPr>
        <w:t>Se solicita a la Entidad, en pro de garantizar una adecuada estructuración técnica y económica de las propuestas, aclarar el alcance específico del requerimiento relacionado con la obligación de entregar los equipos con las "últimas actualizaciones disponibles a la fecha de entrega de todos los componentes del Software y de Hardware", toda vez que dicho requisito no permite identificar con precisión las actividades y responsabilidades que deberá asumir el contratista.</w:t>
      </w:r>
    </w:p>
    <w:p w14:paraId="2572DC32" w14:textId="77777777" w:rsidR="00BE6367" w:rsidRDefault="00BE6367">
      <w:pPr>
        <w:jc w:val="both"/>
        <w:rPr>
          <w:rFonts w:ascii="Arial" w:eastAsia="Arial" w:hAnsi="Arial" w:cs="Arial"/>
          <w:sz w:val="20"/>
          <w:szCs w:val="20"/>
        </w:rPr>
      </w:pPr>
    </w:p>
    <w:p w14:paraId="42762655"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49A95F3F"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Se aclara al interesado que el requerimiento contenido en el numeral 2 de las obligaciones especiales del contratista vendedor corresponde exclusivamente a la instalación de los equipos con las últimas versiones actualizadas del software disponibles a la fecha de entrega.</w:t>
      </w:r>
    </w:p>
    <w:p w14:paraId="01B7E1F6" w14:textId="77777777" w:rsidR="00BE6367" w:rsidRDefault="00C90F6A">
      <w:pPr>
        <w:jc w:val="both"/>
        <w:rPr>
          <w:rFonts w:ascii="Arial" w:eastAsia="Arial" w:hAnsi="Arial" w:cs="Arial"/>
          <w:sz w:val="20"/>
          <w:szCs w:val="20"/>
        </w:rPr>
      </w:pPr>
      <w:r>
        <w:rPr>
          <w:rFonts w:ascii="Arial" w:eastAsia="Arial" w:hAnsi="Arial" w:cs="Arial"/>
          <w:sz w:val="20"/>
          <w:szCs w:val="20"/>
        </w:rPr>
        <w:t>El alcance de esta obligación busca garantizar que los computadores All in One se entreguen con un entorno seguro, confiable y plenamente vigente en cuanto a software, sin que ello implique actividades adicionales sobre el hardware.</w:t>
      </w:r>
    </w:p>
    <w:p w14:paraId="06644754" w14:textId="77777777" w:rsidR="00BE6367" w:rsidRDefault="00BE6367">
      <w:pPr>
        <w:jc w:val="both"/>
        <w:rPr>
          <w:rFonts w:ascii="Arial" w:eastAsia="Arial" w:hAnsi="Arial" w:cs="Arial"/>
          <w:sz w:val="20"/>
          <w:szCs w:val="20"/>
        </w:rPr>
      </w:pPr>
    </w:p>
    <w:p w14:paraId="50111465"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6</w:t>
      </w:r>
    </w:p>
    <w:p w14:paraId="3A483DF9" w14:textId="77777777" w:rsidR="00BE6367" w:rsidRDefault="00C90F6A">
      <w:pPr>
        <w:jc w:val="both"/>
        <w:rPr>
          <w:rFonts w:ascii="Arial" w:eastAsia="Arial" w:hAnsi="Arial" w:cs="Arial"/>
          <w:sz w:val="20"/>
          <w:szCs w:val="20"/>
        </w:rPr>
      </w:pPr>
      <w:r>
        <w:rPr>
          <w:rFonts w:ascii="Arial" w:eastAsia="Arial" w:hAnsi="Arial" w:cs="Arial"/>
          <w:sz w:val="20"/>
          <w:szCs w:val="20"/>
        </w:rPr>
        <w:t>Ficha Técnica EQUIPOS DE COMPUTO (PORTÁTILES TIPO 1), Instalación.</w:t>
      </w:r>
    </w:p>
    <w:p w14:paraId="007E5B78" w14:textId="77777777" w:rsidR="00BE6367" w:rsidRDefault="00C90F6A">
      <w:pPr>
        <w:jc w:val="both"/>
        <w:rPr>
          <w:rFonts w:ascii="Arial" w:eastAsia="Arial" w:hAnsi="Arial" w:cs="Arial"/>
          <w:sz w:val="20"/>
          <w:szCs w:val="20"/>
        </w:rPr>
      </w:pPr>
      <w:r>
        <w:rPr>
          <w:rFonts w:ascii="Arial" w:eastAsia="Arial" w:hAnsi="Arial" w:cs="Arial"/>
          <w:sz w:val="20"/>
          <w:szCs w:val="20"/>
        </w:rPr>
        <w:t>Se solicita a la Entidad, en pro de garantizar una adecuada estructuración técnica y económica de las propuestas, aclarar el alcance específico del requerimiento relacionado con la obligación de entregar los equipos con las "últimas actualizaciones disponibles a la fecha de entrega de todos los componentes del Software y de Hardware", toda vez que dicho requisito no permite identificar con precisión las actividades y responsabilidades que deberá asumir el contratista.</w:t>
      </w:r>
    </w:p>
    <w:p w14:paraId="0A87AE30"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123225A2" w14:textId="77777777" w:rsidR="00BE6367" w:rsidRDefault="00C90F6A">
      <w:pPr>
        <w:jc w:val="both"/>
        <w:rPr>
          <w:rFonts w:ascii="Arial" w:eastAsia="Arial" w:hAnsi="Arial" w:cs="Arial"/>
          <w:sz w:val="20"/>
          <w:szCs w:val="20"/>
        </w:rPr>
      </w:pPr>
      <w:r>
        <w:rPr>
          <w:rFonts w:ascii="Arial" w:eastAsia="Arial" w:hAnsi="Arial" w:cs="Arial"/>
          <w:sz w:val="20"/>
          <w:szCs w:val="20"/>
        </w:rPr>
        <w:t>Se aclara al interesado que el requerimiento relacionado con la obligación de entregar los equipos con las “últimas actualizaciones disponibles a la fecha de entrega” corresponde únicamente a los componentes de software, conforme a lo establecido en el numeral 2 de las obligaciones especiales del contratista vendedor.</w:t>
      </w:r>
    </w:p>
    <w:p w14:paraId="28DA6DB0" w14:textId="77777777" w:rsidR="00BE6367" w:rsidRDefault="00C90F6A">
      <w:pPr>
        <w:jc w:val="both"/>
        <w:rPr>
          <w:rFonts w:ascii="Arial" w:eastAsia="Arial" w:hAnsi="Arial" w:cs="Arial"/>
          <w:sz w:val="20"/>
          <w:szCs w:val="20"/>
        </w:rPr>
      </w:pPr>
      <w:r>
        <w:rPr>
          <w:rFonts w:ascii="Arial" w:eastAsia="Arial" w:hAnsi="Arial" w:cs="Arial"/>
          <w:sz w:val="20"/>
          <w:szCs w:val="20"/>
        </w:rPr>
        <w:t>El alcance de esta obligación implica que los portátiles deberán ser entregados con las últimas versiones actualizadas del software disponibles al momento de la entrega, garantizando un entorno seguro, confiable y vigente para los usuarios. No se incluyen actividades adicionales sobre el hardware dentro de este requerimiento.</w:t>
      </w:r>
    </w:p>
    <w:p w14:paraId="5EAED31D" w14:textId="77777777" w:rsidR="00BE6367" w:rsidRDefault="00BE6367">
      <w:pPr>
        <w:jc w:val="both"/>
        <w:rPr>
          <w:rFonts w:ascii="Arial" w:eastAsia="Arial" w:hAnsi="Arial" w:cs="Arial"/>
          <w:sz w:val="20"/>
          <w:szCs w:val="20"/>
        </w:rPr>
      </w:pPr>
    </w:p>
    <w:p w14:paraId="73E5DD61"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7</w:t>
      </w:r>
    </w:p>
    <w:p w14:paraId="546AD2AA"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 </w:t>
      </w:r>
    </w:p>
    <w:p w14:paraId="2120AA7D" w14:textId="77777777" w:rsidR="00BE6367" w:rsidRDefault="00C90F6A">
      <w:pPr>
        <w:jc w:val="both"/>
        <w:rPr>
          <w:rFonts w:ascii="Arial" w:eastAsia="Arial" w:hAnsi="Arial" w:cs="Arial"/>
          <w:sz w:val="20"/>
          <w:szCs w:val="20"/>
        </w:rPr>
      </w:pPr>
      <w:r>
        <w:rPr>
          <w:rFonts w:ascii="Arial" w:eastAsia="Arial" w:hAnsi="Arial" w:cs="Arial"/>
          <w:sz w:val="20"/>
          <w:szCs w:val="20"/>
        </w:rPr>
        <w:t>Ficha Técnica EQUIPOS DE COMPUTO (ALL IN ONE), Certificaciones.</w:t>
      </w:r>
    </w:p>
    <w:p w14:paraId="7D393202" w14:textId="77777777" w:rsidR="00BE6367" w:rsidRDefault="00BE6367">
      <w:pPr>
        <w:jc w:val="both"/>
        <w:rPr>
          <w:rFonts w:ascii="Arial" w:eastAsia="Arial" w:hAnsi="Arial" w:cs="Arial"/>
          <w:sz w:val="20"/>
          <w:szCs w:val="20"/>
        </w:rPr>
      </w:pPr>
    </w:p>
    <w:p w14:paraId="16406433" w14:textId="77777777" w:rsidR="00BE6367" w:rsidRDefault="00C90F6A">
      <w:pPr>
        <w:jc w:val="both"/>
        <w:rPr>
          <w:rFonts w:ascii="Arial" w:eastAsia="Arial" w:hAnsi="Arial" w:cs="Arial"/>
          <w:sz w:val="20"/>
          <w:szCs w:val="20"/>
        </w:rPr>
      </w:pPr>
      <w:r>
        <w:rPr>
          <w:rFonts w:ascii="Arial" w:eastAsia="Arial" w:hAnsi="Arial" w:cs="Arial"/>
          <w:sz w:val="20"/>
          <w:szCs w:val="20"/>
        </w:rPr>
        <w:t>Se solicita a la Entidad, en pro de garantizar los principios de pluralidad de oferentes, libre concurrencia y selección objetiva, ajustar el requisito relacionado con la membresía del fabricante en el Trusted Computing Group (TCG), permitiendo que el fabricante de los equipos ofertados sea miembro activo del TCG en categoría Contributor o superior, condición verificable en el sitio web oficial de dicha organización.</w:t>
      </w:r>
    </w:p>
    <w:p w14:paraId="3F50BA8A" w14:textId="77777777" w:rsidR="00BE6367" w:rsidRDefault="00BE6367">
      <w:pPr>
        <w:jc w:val="both"/>
        <w:rPr>
          <w:rFonts w:ascii="Arial" w:eastAsia="Arial" w:hAnsi="Arial" w:cs="Arial"/>
          <w:sz w:val="20"/>
          <w:szCs w:val="20"/>
        </w:rPr>
      </w:pPr>
    </w:p>
    <w:p w14:paraId="17111AF3" w14:textId="77777777" w:rsidR="00BE6367" w:rsidRDefault="00C90F6A">
      <w:pPr>
        <w:jc w:val="both"/>
        <w:rPr>
          <w:rFonts w:ascii="Arial" w:eastAsia="Arial" w:hAnsi="Arial" w:cs="Arial"/>
          <w:sz w:val="20"/>
          <w:szCs w:val="20"/>
        </w:rPr>
      </w:pPr>
      <w:r>
        <w:rPr>
          <w:rFonts w:ascii="Arial" w:eastAsia="Arial" w:hAnsi="Arial" w:cs="Arial"/>
          <w:sz w:val="20"/>
          <w:szCs w:val="20"/>
        </w:rPr>
        <w:t>La presente solicitud se fundamenta en que las categorías Contributor y Promoter corresponden a niveles de participación institucional dentro del Trusted Computing Group, cuyos miembros participan en el desarrollo y evolución de los estándares internacionales de seguridad para plataformas de cómputo.</w:t>
      </w:r>
    </w:p>
    <w:p w14:paraId="06439574"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Desde el punto de vista técnico, ambas categorías acreditan que el fabricante hace parte activa del organismo responsable de definir estándares como TPM, Root of Trust, autenticación de dispositivos, Secure Boot y demás tecnologías de confianza utilizadas en la industria, razón por la cual limitar la exigencia exclusivamente al nivel Promoter no representa un beneficio técnico adicional para la Entidad respecto a la seguridad, funcionalidad o desempeño de los equipos.</w:t>
      </w:r>
    </w:p>
    <w:p w14:paraId="69C926F4" w14:textId="77777777" w:rsidR="00BE6367" w:rsidRDefault="00C90F6A">
      <w:pPr>
        <w:jc w:val="both"/>
        <w:rPr>
          <w:rFonts w:ascii="Arial" w:eastAsia="Arial" w:hAnsi="Arial" w:cs="Arial"/>
          <w:sz w:val="20"/>
          <w:szCs w:val="20"/>
        </w:rPr>
      </w:pPr>
      <w:r>
        <w:rPr>
          <w:rFonts w:ascii="Arial" w:eastAsia="Arial" w:hAnsi="Arial" w:cs="Arial"/>
          <w:sz w:val="20"/>
          <w:szCs w:val="20"/>
        </w:rPr>
        <w:t>Adicionalmente, la categoría Contributor agrupa fabricantes de reconocimiento mundial que participan activamente en el desarrollo de los estándares del TCG y cuyos equipos incorporan las mismas tecnologías de seguridad exigidas para ambientes corporativos y gubernamentales.</w:t>
      </w:r>
    </w:p>
    <w:p w14:paraId="64E85819" w14:textId="77777777" w:rsidR="00BE6367" w:rsidRDefault="00C90F6A">
      <w:pPr>
        <w:jc w:val="both"/>
        <w:rPr>
          <w:rFonts w:ascii="Arial" w:eastAsia="Arial" w:hAnsi="Arial" w:cs="Arial"/>
          <w:sz w:val="20"/>
          <w:szCs w:val="20"/>
        </w:rPr>
      </w:pPr>
      <w:r>
        <w:rPr>
          <w:rFonts w:ascii="Arial" w:eastAsia="Arial" w:hAnsi="Arial" w:cs="Arial"/>
          <w:sz w:val="20"/>
          <w:szCs w:val="20"/>
        </w:rPr>
        <w:t>En consecuencia, mantener la exigencia exclusiva del nivel Promoter restringe innecesariamente la participación de fabricantes con amplia trayectoria, reconocimiento internacional y soluciones que cumplen plenamente con los estándares de seguridad definidos por el propio TCG.</w:t>
      </w:r>
    </w:p>
    <w:p w14:paraId="4088A1C8" w14:textId="77777777" w:rsidR="00BE6367" w:rsidRDefault="00C90F6A">
      <w:pPr>
        <w:jc w:val="both"/>
        <w:rPr>
          <w:rFonts w:ascii="Arial" w:eastAsia="Arial" w:hAnsi="Arial" w:cs="Arial"/>
          <w:sz w:val="20"/>
          <w:szCs w:val="20"/>
        </w:rPr>
      </w:pPr>
      <w:r>
        <w:rPr>
          <w:rFonts w:ascii="Arial" w:eastAsia="Arial" w:hAnsi="Arial" w:cs="Arial"/>
          <w:sz w:val="20"/>
          <w:szCs w:val="20"/>
        </w:rPr>
        <w:t>Por lo anterior, respetuosamente solicitamos ajustar el requisito de la siguiente manera:</w:t>
      </w:r>
    </w:p>
    <w:p w14:paraId="54B3424F" w14:textId="77777777" w:rsidR="00BE6367" w:rsidRDefault="00C90F6A">
      <w:pPr>
        <w:jc w:val="both"/>
        <w:rPr>
          <w:rFonts w:ascii="Arial" w:eastAsia="Arial" w:hAnsi="Arial" w:cs="Arial"/>
          <w:sz w:val="20"/>
          <w:szCs w:val="20"/>
        </w:rPr>
      </w:pPr>
      <w:r>
        <w:rPr>
          <w:rFonts w:ascii="Arial" w:eastAsia="Arial" w:hAnsi="Arial" w:cs="Arial"/>
          <w:sz w:val="20"/>
          <w:szCs w:val="20"/>
        </w:rPr>
        <w:t>"El fabricante de los equipos deberá ser miembro activo del Trusted Computing Group (TCG) en categoría Contributor o superior (Contributor, Promoter o equivalente), condición verificable en el sitio web oficial de dicha organización."</w:t>
      </w:r>
    </w:p>
    <w:p w14:paraId="7C03A391" w14:textId="77777777" w:rsidR="00BE6367" w:rsidRDefault="00C90F6A">
      <w:pPr>
        <w:jc w:val="both"/>
        <w:rPr>
          <w:rFonts w:ascii="Arial" w:eastAsia="Arial" w:hAnsi="Arial" w:cs="Arial"/>
          <w:sz w:val="20"/>
          <w:szCs w:val="20"/>
        </w:rPr>
      </w:pPr>
      <w:r>
        <w:rPr>
          <w:rFonts w:ascii="Arial" w:eastAsia="Arial" w:hAnsi="Arial" w:cs="Arial"/>
          <w:sz w:val="20"/>
          <w:szCs w:val="20"/>
        </w:rPr>
        <w:t>Este ajuste mantiene el objetivo de garantizar que los equipos provengan de fabricantes comprometidos con los estándares internacionales de seguridad, al tiempo que promueve una mayor pluralidad de oferentes, sin afectar la calidad, seguridad ni el alcance técnico requerido por la Entidad.</w:t>
      </w:r>
    </w:p>
    <w:p w14:paraId="32A6EDD5"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p>
    <w:p w14:paraId="48FEDD78"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No se acepta la observación. Los requisitos técnicos y de certificación establecidos en la ficha técnica constituyen los mínimos requeridos para garantizar la seguridad, confiabilidad y desempeño de los equipos ofertados. La exigencia de que el fabricante sea miembro activo del </w:t>
      </w:r>
      <w:r>
        <w:rPr>
          <w:rFonts w:ascii="Arial" w:eastAsia="Arial" w:hAnsi="Arial" w:cs="Arial"/>
          <w:b/>
          <w:bCs/>
          <w:sz w:val="20"/>
          <w:szCs w:val="20"/>
        </w:rPr>
        <w:t>Trusted Computing Group (TCG)</w:t>
      </w:r>
      <w:r>
        <w:rPr>
          <w:rFonts w:ascii="Arial" w:eastAsia="Arial" w:hAnsi="Arial" w:cs="Arial"/>
          <w:sz w:val="20"/>
          <w:szCs w:val="20"/>
        </w:rPr>
        <w:t xml:space="preserve"> en la categoría </w:t>
      </w:r>
      <w:r>
        <w:rPr>
          <w:rFonts w:ascii="Arial" w:eastAsia="Arial" w:hAnsi="Arial" w:cs="Arial"/>
          <w:b/>
          <w:bCs/>
          <w:sz w:val="20"/>
          <w:szCs w:val="20"/>
        </w:rPr>
        <w:t>Promoter</w:t>
      </w:r>
      <w:r>
        <w:rPr>
          <w:rFonts w:ascii="Arial" w:eastAsia="Arial" w:hAnsi="Arial" w:cs="Arial"/>
          <w:sz w:val="20"/>
          <w:szCs w:val="20"/>
        </w:rPr>
        <w:t xml:space="preserve"> responde a la necesidad de asegurar que los equipos provengan de fabricantes con participación plena y verificable en el desarrollo de los estándares internacionales de seguridad para plataformas de cómputo.</w:t>
      </w:r>
    </w:p>
    <w:p w14:paraId="74831D4E"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En consecuencia, únicamente se aceptarán equipos cuyos fabricantes acrediten la membresía en la categoría </w:t>
      </w:r>
      <w:r>
        <w:rPr>
          <w:rFonts w:ascii="Arial" w:eastAsia="Arial" w:hAnsi="Arial" w:cs="Arial"/>
          <w:b/>
          <w:bCs/>
          <w:sz w:val="20"/>
          <w:szCs w:val="20"/>
        </w:rPr>
        <w:t>Promoter</w:t>
      </w:r>
      <w:r>
        <w:rPr>
          <w:rFonts w:ascii="Arial" w:eastAsia="Arial" w:hAnsi="Arial" w:cs="Arial"/>
          <w:sz w:val="20"/>
          <w:szCs w:val="20"/>
        </w:rPr>
        <w:t xml:space="preserve"> o superior, condición verificable en el sitio web oficial del TCG. Se aclara además que existe pluralidad de marcas en el mercado que cumplen con este requisito, garantizando así la libre concurrencia y la selección objetiva dentro del proceso.</w:t>
      </w:r>
    </w:p>
    <w:p w14:paraId="65083BEF" w14:textId="77777777" w:rsidR="00BE6367" w:rsidRDefault="00BE6367">
      <w:pPr>
        <w:jc w:val="both"/>
        <w:rPr>
          <w:rFonts w:ascii="Arial" w:eastAsia="Arial" w:hAnsi="Arial" w:cs="Arial"/>
          <w:sz w:val="20"/>
          <w:szCs w:val="20"/>
        </w:rPr>
      </w:pPr>
    </w:p>
    <w:p w14:paraId="07F030BF" w14:textId="77777777" w:rsidR="00BE6367" w:rsidRDefault="00BE6367">
      <w:pPr>
        <w:jc w:val="both"/>
        <w:rPr>
          <w:rFonts w:ascii="Arial" w:eastAsia="Arial" w:hAnsi="Arial" w:cs="Arial"/>
          <w:sz w:val="20"/>
          <w:szCs w:val="20"/>
        </w:rPr>
      </w:pPr>
    </w:p>
    <w:p w14:paraId="248AB899"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8</w:t>
      </w:r>
    </w:p>
    <w:p w14:paraId="78D89BAC" w14:textId="77777777" w:rsidR="00BE6367" w:rsidRDefault="00C90F6A">
      <w:pPr>
        <w:jc w:val="both"/>
        <w:rPr>
          <w:rFonts w:ascii="Arial" w:eastAsia="Arial" w:hAnsi="Arial" w:cs="Arial"/>
          <w:sz w:val="20"/>
          <w:szCs w:val="20"/>
        </w:rPr>
      </w:pPr>
      <w:r>
        <w:rPr>
          <w:rFonts w:ascii="Arial" w:eastAsia="Arial" w:hAnsi="Arial" w:cs="Arial"/>
          <w:sz w:val="20"/>
          <w:szCs w:val="20"/>
        </w:rPr>
        <w:t>Ficha Técnica, EQUIPOS DE COMPUTO (PORTÁTILES TIPO 1), Certificaciones.</w:t>
      </w:r>
    </w:p>
    <w:p w14:paraId="28D90A60" w14:textId="77777777" w:rsidR="00BE6367" w:rsidRDefault="00C90F6A">
      <w:pPr>
        <w:jc w:val="both"/>
        <w:rPr>
          <w:rFonts w:ascii="Arial" w:eastAsia="Arial" w:hAnsi="Arial" w:cs="Arial"/>
          <w:sz w:val="20"/>
          <w:szCs w:val="20"/>
        </w:rPr>
      </w:pPr>
      <w:r>
        <w:rPr>
          <w:rFonts w:ascii="Arial" w:eastAsia="Arial" w:hAnsi="Arial" w:cs="Arial"/>
          <w:sz w:val="20"/>
          <w:szCs w:val="20"/>
        </w:rPr>
        <w:t>Se solicita a la Entidad, en pro de garantizar los principios de pluralidad de oferentes, libre concurrencia y selección objetiva, ajustar el requisito relacionado con la membresía del fabricante en el Trusted Computing Group (TCG), permitiendo que el fabricante de los equipos ofertados sea miembro activo del TCG en categoría Contributor o superior, condición verificable en el sitio web oficial de dicha organización.</w:t>
      </w:r>
    </w:p>
    <w:p w14:paraId="296FC624"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La presente solicitud se fundamenta en que las categorías Contributor y Promoter corresponden a niveles de participación institucional dentro del Trusted Computing Group, cuyos miembros participan en el desarrollo y evolución de los estándares internacionales de seguridad para plataformas de cómputo.</w:t>
      </w:r>
    </w:p>
    <w:p w14:paraId="40110E92" w14:textId="77777777" w:rsidR="00BE6367" w:rsidRDefault="00C90F6A">
      <w:pPr>
        <w:jc w:val="both"/>
        <w:rPr>
          <w:rFonts w:ascii="Arial" w:eastAsia="Arial" w:hAnsi="Arial" w:cs="Arial"/>
          <w:sz w:val="20"/>
          <w:szCs w:val="20"/>
        </w:rPr>
      </w:pPr>
      <w:r>
        <w:rPr>
          <w:rFonts w:ascii="Arial" w:eastAsia="Arial" w:hAnsi="Arial" w:cs="Arial"/>
          <w:sz w:val="20"/>
          <w:szCs w:val="20"/>
        </w:rPr>
        <w:t>Desde el punto de vista técnico, ambas categorías acreditan que el fabricante hace parte activa del organismo responsable de definir estándares como TPM, Root of Trust, autenticación de dispositivos, Secure Boot y demás tecnologías de confianza utilizadas en la industria, razón por la cual limitar la exigencia exclusivamente al nivel Promoter no representa un beneficio técnico adicional para la Entidad respecto a la seguridad, funcionalidad o desempeño de los equipos.</w:t>
      </w:r>
    </w:p>
    <w:p w14:paraId="6968D96B" w14:textId="77777777" w:rsidR="00BE6367" w:rsidRDefault="00C90F6A">
      <w:pPr>
        <w:jc w:val="both"/>
        <w:rPr>
          <w:rFonts w:ascii="Arial" w:eastAsia="Arial" w:hAnsi="Arial" w:cs="Arial"/>
          <w:sz w:val="20"/>
          <w:szCs w:val="20"/>
        </w:rPr>
      </w:pPr>
      <w:r>
        <w:rPr>
          <w:rFonts w:ascii="Arial" w:eastAsia="Arial" w:hAnsi="Arial" w:cs="Arial"/>
          <w:sz w:val="20"/>
          <w:szCs w:val="20"/>
        </w:rPr>
        <w:t>Adicionalmente, la categoría Contributor agrupa fabricantes de reconocimiento mundial que participan activamente en el desarrollo de los estándares del TCG y cuyos equipos incorporan las mismas tecnologías de seguridad exigidas para ambientes corporativos y gubernamentales.</w:t>
      </w:r>
    </w:p>
    <w:p w14:paraId="7669CAAA" w14:textId="77777777" w:rsidR="00BE6367" w:rsidRDefault="00C90F6A">
      <w:pPr>
        <w:jc w:val="both"/>
        <w:rPr>
          <w:rFonts w:ascii="Arial" w:eastAsia="Arial" w:hAnsi="Arial" w:cs="Arial"/>
          <w:sz w:val="20"/>
          <w:szCs w:val="20"/>
        </w:rPr>
      </w:pPr>
      <w:r>
        <w:rPr>
          <w:rFonts w:ascii="Arial" w:eastAsia="Arial" w:hAnsi="Arial" w:cs="Arial"/>
          <w:sz w:val="20"/>
          <w:szCs w:val="20"/>
        </w:rPr>
        <w:t>En consecuencia, mantener la exigencia exclusiva del nivel Promoter restringe innecesariamente la participación de fabricantes con amplia trayectoria, reconocimiento internacional y soluciones que cumplen plenamente con los estándares de seguridad definidos por el propio TCG.</w:t>
      </w:r>
    </w:p>
    <w:p w14:paraId="5390D212" w14:textId="77777777" w:rsidR="00BE6367" w:rsidRDefault="00C90F6A">
      <w:pPr>
        <w:jc w:val="both"/>
        <w:rPr>
          <w:rFonts w:ascii="Arial" w:eastAsia="Arial" w:hAnsi="Arial" w:cs="Arial"/>
          <w:sz w:val="20"/>
          <w:szCs w:val="20"/>
        </w:rPr>
      </w:pPr>
      <w:r>
        <w:rPr>
          <w:rFonts w:ascii="Arial" w:eastAsia="Arial" w:hAnsi="Arial" w:cs="Arial"/>
          <w:sz w:val="20"/>
          <w:szCs w:val="20"/>
        </w:rPr>
        <w:t>Por lo anterior, respetuosamente solicitamos ajustar el requisito de la siguiente manera:</w:t>
      </w:r>
    </w:p>
    <w:p w14:paraId="75D7CF2F" w14:textId="77777777" w:rsidR="00BE6367" w:rsidRDefault="00C90F6A">
      <w:pPr>
        <w:jc w:val="both"/>
        <w:rPr>
          <w:rFonts w:ascii="Arial" w:eastAsia="Arial" w:hAnsi="Arial" w:cs="Arial"/>
          <w:sz w:val="20"/>
          <w:szCs w:val="20"/>
        </w:rPr>
      </w:pPr>
      <w:r>
        <w:rPr>
          <w:rFonts w:ascii="Arial" w:eastAsia="Arial" w:hAnsi="Arial" w:cs="Arial"/>
          <w:sz w:val="20"/>
          <w:szCs w:val="20"/>
        </w:rPr>
        <w:t>"El fabricante de los equipos deberá ser miembro activo del Trusted Computing Group (TCG) en categoría Contributor o superior (Contributor, Promoter o equivalente), condición verificable en el sitio web oficial de dicha organización."</w:t>
      </w:r>
    </w:p>
    <w:p w14:paraId="73342553" w14:textId="77777777" w:rsidR="00BE6367" w:rsidRDefault="00C90F6A">
      <w:pPr>
        <w:jc w:val="both"/>
        <w:rPr>
          <w:rFonts w:ascii="Arial" w:eastAsia="Arial" w:hAnsi="Arial" w:cs="Arial"/>
          <w:sz w:val="20"/>
          <w:szCs w:val="20"/>
        </w:rPr>
      </w:pPr>
      <w:r>
        <w:rPr>
          <w:rFonts w:ascii="Arial" w:eastAsia="Arial" w:hAnsi="Arial" w:cs="Arial"/>
          <w:sz w:val="20"/>
          <w:szCs w:val="20"/>
        </w:rPr>
        <w:t>Este ajuste mantiene el objetivo de garantizar que los equipos provengan de fabricantes comprometidos con los estándares internacionales de seguridad, al tiempo que promueve una mayor pluralidad de oferentes, sin afectar la calidad, seguridad ni el alcance técnico requerido por la Entidad.</w:t>
      </w:r>
    </w:p>
    <w:p w14:paraId="3288C6AE"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443ADFD8"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No se acepta la observación. Los requisitos técnicos y de certificación establecidos en la ficha técnica constituyen los mínimos requeridos para garantizar la seguridad, confiabilidad y desempeño de los equipos ofertados. La exigencia de que el fabricante sea miembro activo del </w:t>
      </w:r>
      <w:r>
        <w:rPr>
          <w:rFonts w:ascii="Arial" w:eastAsia="Arial" w:hAnsi="Arial" w:cs="Arial"/>
          <w:b/>
          <w:bCs/>
          <w:sz w:val="20"/>
          <w:szCs w:val="20"/>
        </w:rPr>
        <w:t>Trusted Computing Group (TCG)</w:t>
      </w:r>
      <w:r>
        <w:rPr>
          <w:rFonts w:ascii="Arial" w:eastAsia="Arial" w:hAnsi="Arial" w:cs="Arial"/>
          <w:sz w:val="20"/>
          <w:szCs w:val="20"/>
        </w:rPr>
        <w:t xml:space="preserve"> en la categoría </w:t>
      </w:r>
      <w:r>
        <w:rPr>
          <w:rFonts w:ascii="Arial" w:eastAsia="Arial" w:hAnsi="Arial" w:cs="Arial"/>
          <w:b/>
          <w:bCs/>
          <w:sz w:val="20"/>
          <w:szCs w:val="20"/>
        </w:rPr>
        <w:t>Promoter</w:t>
      </w:r>
      <w:r>
        <w:rPr>
          <w:rFonts w:ascii="Arial" w:eastAsia="Arial" w:hAnsi="Arial" w:cs="Arial"/>
          <w:sz w:val="20"/>
          <w:szCs w:val="20"/>
        </w:rPr>
        <w:t xml:space="preserve"> responde a la necesidad de asegurar que los equipos provengan de fabricantes con participación plena y verificable en el desarrollo de los estándares internacionales de seguridad para plataformas de cómputo.</w:t>
      </w:r>
    </w:p>
    <w:p w14:paraId="21AA4B1F"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En consecuencia, únicamente se aceptarán equipos cuyos fabricantes acrediten la membresía en la categoría </w:t>
      </w:r>
      <w:r>
        <w:rPr>
          <w:rFonts w:ascii="Arial" w:eastAsia="Arial" w:hAnsi="Arial" w:cs="Arial"/>
          <w:b/>
          <w:bCs/>
          <w:sz w:val="20"/>
          <w:szCs w:val="20"/>
        </w:rPr>
        <w:t>Promoter</w:t>
      </w:r>
      <w:r>
        <w:rPr>
          <w:rFonts w:ascii="Arial" w:eastAsia="Arial" w:hAnsi="Arial" w:cs="Arial"/>
          <w:sz w:val="20"/>
          <w:szCs w:val="20"/>
        </w:rPr>
        <w:t xml:space="preserve"> o superior, condición verificable en el sitio web oficial del TCG. Se aclara además que existe pluralidad de marcas en el mercado que cumplen con este requisito, garantizando así la libre concurrencia y la selección objetiva dentro del proceso.</w:t>
      </w:r>
    </w:p>
    <w:p w14:paraId="1D109C16"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9</w:t>
      </w:r>
    </w:p>
    <w:p w14:paraId="2140B7D5"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BRS_CORTA_MCP-25.1_2033, Teclados, Certificaciones. </w:t>
      </w:r>
    </w:p>
    <w:p w14:paraId="4AD936ED" w14:textId="77777777" w:rsidR="00BE6367" w:rsidRDefault="00C90F6A">
      <w:pPr>
        <w:jc w:val="both"/>
        <w:rPr>
          <w:rFonts w:ascii="Arial" w:eastAsia="Arial" w:hAnsi="Arial" w:cs="Arial"/>
          <w:sz w:val="20"/>
          <w:szCs w:val="20"/>
        </w:rPr>
      </w:pPr>
      <w:r>
        <w:rPr>
          <w:rFonts w:ascii="Arial" w:eastAsia="Arial" w:hAnsi="Arial" w:cs="Arial"/>
          <w:sz w:val="20"/>
          <w:szCs w:val="20"/>
        </w:rPr>
        <w:t>Se solicita a la Entidad, en pro de garantizar los principios de pluralidad de oferentes, libre concurrencia y selección objetiva, ajustar el requisito relacionado con la membresía del fabricante en el Trusted Computing Group (TCG), permitiendo que el fabricante de los equipos ofertados sea miembro activo del TCG en categoría Contributor o superior, condición verificable en el sitio web oficial de dicha organización.</w:t>
      </w:r>
    </w:p>
    <w:p w14:paraId="0A1D060E"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La presente solicitud se fundamenta en que las categorías Contributor y Promoter corresponden a niveles de participación institucional dentro del Trusted Computing Group, cuyos miembros participan en el desarrollo y evolución de los estándares internacionales de seguridad para plataformas de cómputo.</w:t>
      </w:r>
    </w:p>
    <w:p w14:paraId="167E0667" w14:textId="77777777" w:rsidR="00BE6367" w:rsidRDefault="00C90F6A">
      <w:pPr>
        <w:jc w:val="both"/>
        <w:rPr>
          <w:rFonts w:ascii="Arial" w:eastAsia="Arial" w:hAnsi="Arial" w:cs="Arial"/>
          <w:sz w:val="20"/>
          <w:szCs w:val="20"/>
        </w:rPr>
      </w:pPr>
      <w:r>
        <w:rPr>
          <w:rFonts w:ascii="Arial" w:eastAsia="Arial" w:hAnsi="Arial" w:cs="Arial"/>
          <w:sz w:val="20"/>
          <w:szCs w:val="20"/>
        </w:rPr>
        <w:t>Desde el punto de vista técnico, ambas categorías acreditan que el fabricante hace parte activa del organismo responsable de definir estándares como TPM, Root of Trust, autenticación de dispositivos, Secure Boot y demás tecnologías de confianza utilizadas en la industria, razón por la cual limitar la exigencia exclusivamente al nivel Promoter no representa un beneficio técnico adicional para la Entidad respecto a la seguridad, funcionalidad o desempeño de los equipos.</w:t>
      </w:r>
    </w:p>
    <w:p w14:paraId="7BC8638C" w14:textId="77777777" w:rsidR="00BE6367" w:rsidRDefault="00C90F6A">
      <w:pPr>
        <w:jc w:val="both"/>
        <w:rPr>
          <w:rFonts w:ascii="Arial" w:eastAsia="Arial" w:hAnsi="Arial" w:cs="Arial"/>
          <w:sz w:val="20"/>
          <w:szCs w:val="20"/>
        </w:rPr>
      </w:pPr>
      <w:r>
        <w:rPr>
          <w:rFonts w:ascii="Arial" w:eastAsia="Arial" w:hAnsi="Arial" w:cs="Arial"/>
          <w:sz w:val="20"/>
          <w:szCs w:val="20"/>
        </w:rPr>
        <w:t>Adicionalmente, la categoría Contributor agrupa fabricantes de reconocimiento mundial que participan activamente en el desarrollo de los estándares del TCG y cuyos equipos incorporan las mismas tecnologías de seguridad exigidas para ambientes corporativos y gubernamentales.</w:t>
      </w:r>
    </w:p>
    <w:p w14:paraId="519FF2A9" w14:textId="77777777" w:rsidR="00BE6367" w:rsidRDefault="00C90F6A">
      <w:pPr>
        <w:jc w:val="both"/>
        <w:rPr>
          <w:rFonts w:ascii="Arial" w:eastAsia="Arial" w:hAnsi="Arial" w:cs="Arial"/>
          <w:sz w:val="20"/>
          <w:szCs w:val="20"/>
        </w:rPr>
      </w:pPr>
      <w:r>
        <w:rPr>
          <w:rFonts w:ascii="Arial" w:eastAsia="Arial" w:hAnsi="Arial" w:cs="Arial"/>
          <w:sz w:val="20"/>
          <w:szCs w:val="20"/>
        </w:rPr>
        <w:t>En consecuencia, mantener la exigencia exclusiva del nivel Promoter restringe innecesariamente la participación de fabricantes con amplia trayectoria, reconocimiento internacional y soluciones que cumplen plenamente con los estándares de seguridad definidos por el propio TCG.</w:t>
      </w:r>
    </w:p>
    <w:p w14:paraId="002D2087" w14:textId="77777777" w:rsidR="00BE6367" w:rsidRDefault="00C90F6A">
      <w:pPr>
        <w:jc w:val="both"/>
        <w:rPr>
          <w:rFonts w:ascii="Arial" w:eastAsia="Arial" w:hAnsi="Arial" w:cs="Arial"/>
          <w:sz w:val="20"/>
          <w:szCs w:val="20"/>
        </w:rPr>
      </w:pPr>
      <w:r>
        <w:rPr>
          <w:rFonts w:ascii="Arial" w:eastAsia="Arial" w:hAnsi="Arial" w:cs="Arial"/>
          <w:sz w:val="20"/>
          <w:szCs w:val="20"/>
        </w:rPr>
        <w:t>Por lo anterior, respetuosamente solicitamos ajustar el requisito de la siguiente manera:</w:t>
      </w:r>
    </w:p>
    <w:p w14:paraId="5E459A6E" w14:textId="77777777" w:rsidR="00BE6367" w:rsidRDefault="00C90F6A">
      <w:pPr>
        <w:jc w:val="both"/>
        <w:rPr>
          <w:rFonts w:ascii="Arial" w:eastAsia="Arial" w:hAnsi="Arial" w:cs="Arial"/>
          <w:sz w:val="20"/>
          <w:szCs w:val="20"/>
        </w:rPr>
      </w:pPr>
      <w:r>
        <w:rPr>
          <w:rFonts w:ascii="Arial" w:eastAsia="Arial" w:hAnsi="Arial" w:cs="Arial"/>
          <w:sz w:val="20"/>
          <w:szCs w:val="20"/>
        </w:rPr>
        <w:t>"El fabricante de los equipos deberá ser miembro activo del Trusted Computing Group (TCG) en categoría Contributor o superior (Contributor, Promoter o equivalente), condición verificable en el sitio web oficial de dicha organización."</w:t>
      </w:r>
    </w:p>
    <w:p w14:paraId="2F42616E" w14:textId="77777777" w:rsidR="00BE6367" w:rsidRDefault="00C90F6A">
      <w:pPr>
        <w:jc w:val="both"/>
        <w:rPr>
          <w:rFonts w:ascii="Arial" w:eastAsia="Arial" w:hAnsi="Arial" w:cs="Arial"/>
          <w:sz w:val="20"/>
          <w:szCs w:val="20"/>
        </w:rPr>
      </w:pPr>
      <w:r>
        <w:rPr>
          <w:rFonts w:ascii="Arial" w:eastAsia="Arial" w:hAnsi="Arial" w:cs="Arial"/>
          <w:sz w:val="20"/>
          <w:szCs w:val="20"/>
        </w:rPr>
        <w:t>Este ajuste mantiene el objetivo de garantizar que los equipos provengan de fabricantes comprometidos con los estándares internacionales de seguridad, al tiempo que promueve una mayor pluralidad de oferentes, sin afectar la calidad, seguridad ni el alcance técnico requerido por la Entidad.</w:t>
      </w:r>
    </w:p>
    <w:p w14:paraId="20A0774E"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p>
    <w:p w14:paraId="470DA39B"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No se acepta la observación. Los requisitos técnicos y de certificación establecidos constituyen los mínimos necesarios para garantizar la seguridad, confiabilidad y desempeño de los equipos ofertados. La exigencia de que el fabricante sea miembro activo del </w:t>
      </w:r>
      <w:r>
        <w:rPr>
          <w:rFonts w:ascii="Arial" w:eastAsia="Arial" w:hAnsi="Arial" w:cs="Arial"/>
          <w:b/>
          <w:bCs/>
          <w:sz w:val="20"/>
          <w:szCs w:val="20"/>
        </w:rPr>
        <w:t>Trusted Computing Group (TCG)</w:t>
      </w:r>
      <w:r>
        <w:rPr>
          <w:rFonts w:ascii="Arial" w:eastAsia="Arial" w:hAnsi="Arial" w:cs="Arial"/>
          <w:sz w:val="20"/>
          <w:szCs w:val="20"/>
        </w:rPr>
        <w:t xml:space="preserve"> en la categoría </w:t>
      </w:r>
      <w:r>
        <w:rPr>
          <w:rFonts w:ascii="Arial" w:eastAsia="Arial" w:hAnsi="Arial" w:cs="Arial"/>
          <w:b/>
          <w:bCs/>
          <w:sz w:val="20"/>
          <w:szCs w:val="20"/>
        </w:rPr>
        <w:t>Promoter</w:t>
      </w:r>
      <w:r>
        <w:rPr>
          <w:rFonts w:ascii="Arial" w:eastAsia="Arial" w:hAnsi="Arial" w:cs="Arial"/>
          <w:sz w:val="20"/>
          <w:szCs w:val="20"/>
        </w:rPr>
        <w:t xml:space="preserve"> responde a la necesidad de asegurar que los equipos y periféricos (incluidos teclados y mouse) provengan de fabricantes con participación plena y verificable en el desarrollo de los estándares internacionales de seguridad para plataformas de cómputo.</w:t>
      </w:r>
    </w:p>
    <w:p w14:paraId="714A5AF4"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Este requisito busca garantizar que los periféricos ofertados sean </w:t>
      </w:r>
      <w:r>
        <w:rPr>
          <w:rFonts w:ascii="Arial" w:eastAsia="Arial" w:hAnsi="Arial" w:cs="Arial"/>
          <w:b/>
          <w:bCs/>
          <w:sz w:val="20"/>
          <w:szCs w:val="20"/>
        </w:rPr>
        <w:t>totalmente compatibles con los equipos principales bajo los mismos parámetros de fabricantes</w:t>
      </w:r>
      <w:r>
        <w:rPr>
          <w:rFonts w:ascii="Arial" w:eastAsia="Arial" w:hAnsi="Arial" w:cs="Arial"/>
          <w:sz w:val="20"/>
          <w:szCs w:val="20"/>
        </w:rPr>
        <w:t>, asegurando uniformidad, interoperabilidad y cumplimiento de las especificaciones técnicas exigidas en el pliego.</w:t>
      </w:r>
    </w:p>
    <w:p w14:paraId="4C904730"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En consecuencia, únicamente se aceptarán equipos y periféricos cuyos fabricantes acrediten la membresía en la categoría </w:t>
      </w:r>
      <w:r>
        <w:rPr>
          <w:rFonts w:ascii="Arial" w:eastAsia="Arial" w:hAnsi="Arial" w:cs="Arial"/>
          <w:b/>
          <w:bCs/>
          <w:sz w:val="20"/>
          <w:szCs w:val="20"/>
        </w:rPr>
        <w:t>Promoter</w:t>
      </w:r>
      <w:r>
        <w:rPr>
          <w:rFonts w:ascii="Arial" w:eastAsia="Arial" w:hAnsi="Arial" w:cs="Arial"/>
          <w:sz w:val="20"/>
          <w:szCs w:val="20"/>
        </w:rPr>
        <w:t xml:space="preserve"> o superior, condición verificable en el sitio web oficial de </w:t>
      </w:r>
      <w:r>
        <w:rPr>
          <w:rFonts w:ascii="Arial" w:eastAsia="Arial" w:hAnsi="Arial" w:cs="Arial"/>
          <w:b/>
          <w:bCs/>
          <w:sz w:val="20"/>
          <w:szCs w:val="20"/>
        </w:rPr>
        <w:t>Trusted Computing Group</w:t>
      </w:r>
      <w:r>
        <w:rPr>
          <w:rFonts w:ascii="Arial" w:eastAsia="Arial" w:hAnsi="Arial" w:cs="Arial"/>
          <w:sz w:val="20"/>
          <w:szCs w:val="20"/>
        </w:rPr>
        <w:t>. Se aclara además que existe pluralidad de marcas en el mercado que cumplen con este requisito, lo que garantiza la libre concurrencia y la selección objetiva dentro del proceso.</w:t>
      </w:r>
    </w:p>
    <w:p w14:paraId="5607E2B7"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10</w:t>
      </w:r>
    </w:p>
    <w:p w14:paraId="07915E00"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BRS_CORTA_MCP-25.1_2033, Mouse, certificaciones. </w:t>
      </w:r>
    </w:p>
    <w:p w14:paraId="6ECFDF78"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Se solicita a la Entidad, en pro de garantizar los principios de pluralidad de oferentes, libre concurrencia y selección objetiva, ajustar el requisito relacionado con la membresía del fabricante en el Trusted Computing Group (TCG), permitiendo que el fabricante de los equipos ofertados sea miembro activo del TCG en categoría Contributor o superior, condición verificable en el sitio web oficial de dicha organización.</w:t>
      </w:r>
    </w:p>
    <w:p w14:paraId="37BCE4A6" w14:textId="77777777" w:rsidR="00BE6367" w:rsidRDefault="00C90F6A">
      <w:pPr>
        <w:jc w:val="both"/>
        <w:rPr>
          <w:rFonts w:ascii="Arial" w:eastAsia="Arial" w:hAnsi="Arial" w:cs="Arial"/>
          <w:sz w:val="20"/>
          <w:szCs w:val="20"/>
        </w:rPr>
      </w:pPr>
      <w:r>
        <w:rPr>
          <w:rFonts w:ascii="Arial" w:eastAsia="Arial" w:hAnsi="Arial" w:cs="Arial"/>
          <w:sz w:val="20"/>
          <w:szCs w:val="20"/>
        </w:rPr>
        <w:t>La presente solicitud se fundamenta en que las categorías Contributor y Promoter corresponden a niveles de participación institucional dentro del Trusted Computing Group, cuyos miembros participan en el desarrollo y evolución de los estándares internacionales de seguridad para plataformas de cómputo.</w:t>
      </w:r>
    </w:p>
    <w:p w14:paraId="649C7710" w14:textId="77777777" w:rsidR="00BE6367" w:rsidRDefault="00C90F6A">
      <w:pPr>
        <w:jc w:val="both"/>
        <w:rPr>
          <w:rFonts w:ascii="Arial" w:eastAsia="Arial" w:hAnsi="Arial" w:cs="Arial"/>
          <w:sz w:val="20"/>
          <w:szCs w:val="20"/>
        </w:rPr>
      </w:pPr>
      <w:r>
        <w:rPr>
          <w:rFonts w:ascii="Arial" w:eastAsia="Arial" w:hAnsi="Arial" w:cs="Arial"/>
          <w:sz w:val="20"/>
          <w:szCs w:val="20"/>
        </w:rPr>
        <w:t>Desde el punto de vista técnico, ambas categorías acreditan que el fabricante hace parte activa del organismo responsable de definir estándares como TPM, Root of Trust, autenticación de dispositivos, Secure Boot y demás tecnologías de confianza utilizadas en la industria, razón por la cual limitar la exigencia exclusivamente al nivel Promoter no representa un beneficio técnico adicional para la Entidad respecto a la seguridad, funcionalidad o desempeño de los equipos.</w:t>
      </w:r>
    </w:p>
    <w:p w14:paraId="61909AF2" w14:textId="77777777" w:rsidR="00BE6367" w:rsidRDefault="00C90F6A">
      <w:pPr>
        <w:jc w:val="both"/>
        <w:rPr>
          <w:rFonts w:ascii="Arial" w:eastAsia="Arial" w:hAnsi="Arial" w:cs="Arial"/>
          <w:sz w:val="20"/>
          <w:szCs w:val="20"/>
        </w:rPr>
      </w:pPr>
      <w:r>
        <w:rPr>
          <w:rFonts w:ascii="Arial" w:eastAsia="Arial" w:hAnsi="Arial" w:cs="Arial"/>
          <w:sz w:val="20"/>
          <w:szCs w:val="20"/>
        </w:rPr>
        <w:t>Adicionalmente, la categoría Contributor agrupa fabricantes de reconocimiento mundial que participan activamente en el desarrollo de los estándares del TCG y cuyos equipos incorporan las mismas tecnologías de seguridad exigidas para ambientes corporativos y gubernamentales.</w:t>
      </w:r>
    </w:p>
    <w:p w14:paraId="0395129B" w14:textId="77777777" w:rsidR="00BE6367" w:rsidRDefault="00C90F6A">
      <w:pPr>
        <w:jc w:val="both"/>
        <w:rPr>
          <w:rFonts w:ascii="Arial" w:eastAsia="Arial" w:hAnsi="Arial" w:cs="Arial"/>
          <w:sz w:val="20"/>
          <w:szCs w:val="20"/>
        </w:rPr>
      </w:pPr>
      <w:r>
        <w:rPr>
          <w:rFonts w:ascii="Arial" w:eastAsia="Arial" w:hAnsi="Arial" w:cs="Arial"/>
          <w:sz w:val="20"/>
          <w:szCs w:val="20"/>
        </w:rPr>
        <w:t>En consecuencia, mantener la exigencia exclusiva del nivel Promoter restringe innecesariamente la participación de fabricantes con amplia trayectoria, reconocimiento internacional y soluciones que cumplen plenamente con los estándares de seguridad definidos por el propio TCG.</w:t>
      </w:r>
    </w:p>
    <w:p w14:paraId="08F76BE0" w14:textId="77777777" w:rsidR="00BE6367" w:rsidRDefault="00C90F6A">
      <w:pPr>
        <w:jc w:val="both"/>
        <w:rPr>
          <w:rFonts w:ascii="Arial" w:eastAsia="Arial" w:hAnsi="Arial" w:cs="Arial"/>
          <w:sz w:val="20"/>
          <w:szCs w:val="20"/>
        </w:rPr>
      </w:pPr>
      <w:r>
        <w:rPr>
          <w:rFonts w:ascii="Arial" w:eastAsia="Arial" w:hAnsi="Arial" w:cs="Arial"/>
          <w:sz w:val="20"/>
          <w:szCs w:val="20"/>
        </w:rPr>
        <w:t>Por lo anterior, respetuosamente solicitamos ajustar el requisito de la siguiente manera:</w:t>
      </w:r>
    </w:p>
    <w:p w14:paraId="16F22042" w14:textId="77777777" w:rsidR="00BE6367" w:rsidRDefault="00C90F6A">
      <w:pPr>
        <w:jc w:val="both"/>
        <w:rPr>
          <w:rFonts w:ascii="Arial" w:eastAsia="Arial" w:hAnsi="Arial" w:cs="Arial"/>
          <w:sz w:val="20"/>
          <w:szCs w:val="20"/>
        </w:rPr>
      </w:pPr>
      <w:r>
        <w:rPr>
          <w:rFonts w:ascii="Arial" w:eastAsia="Arial" w:hAnsi="Arial" w:cs="Arial"/>
          <w:sz w:val="20"/>
          <w:szCs w:val="20"/>
        </w:rPr>
        <w:t>"El fabricante de los equipos deberá ser miembro activo del Trusted Computing Group (TCG) en categoría Contributor o superior (Contributor, Promoter o equivalente), condición verificable en el sitio web oficial de dicha organización."</w:t>
      </w:r>
    </w:p>
    <w:p w14:paraId="61CC3A13" w14:textId="77777777" w:rsidR="00BE6367" w:rsidRDefault="00C90F6A">
      <w:pPr>
        <w:jc w:val="both"/>
        <w:rPr>
          <w:rFonts w:ascii="Arial" w:eastAsia="Arial" w:hAnsi="Arial" w:cs="Arial"/>
          <w:sz w:val="20"/>
          <w:szCs w:val="20"/>
        </w:rPr>
      </w:pPr>
      <w:r>
        <w:rPr>
          <w:rFonts w:ascii="Arial" w:eastAsia="Arial" w:hAnsi="Arial" w:cs="Arial"/>
          <w:sz w:val="20"/>
          <w:szCs w:val="20"/>
        </w:rPr>
        <w:t>Este ajuste mantiene el objetivo de garantizar que los equipos provengan de fabricantes comprometidos con los estándares internacionales de seguridad, al tiempo que promueve una mayor pluralidad de oferentes, sin afectar la calidad, seguridad ni el alcance técnico requerido por la Entidad.</w:t>
      </w:r>
    </w:p>
    <w:p w14:paraId="72DCCA49"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p>
    <w:p w14:paraId="1B493521"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No se acepta la observación. Los requisitos técnicos y de certificación establecidos constituyen los mínimos necesarios para garantizar la seguridad, confiabilidad y desempeño de los equipos ofertados. La exigencia de que el fabricante sea miembro activo del </w:t>
      </w:r>
      <w:r>
        <w:rPr>
          <w:rFonts w:ascii="Arial" w:eastAsia="Arial" w:hAnsi="Arial" w:cs="Arial"/>
          <w:b/>
          <w:bCs/>
          <w:sz w:val="20"/>
          <w:szCs w:val="20"/>
        </w:rPr>
        <w:t>Trusted Computing Group (TCG)</w:t>
      </w:r>
      <w:r>
        <w:rPr>
          <w:rFonts w:ascii="Arial" w:eastAsia="Arial" w:hAnsi="Arial" w:cs="Arial"/>
          <w:sz w:val="20"/>
          <w:szCs w:val="20"/>
        </w:rPr>
        <w:t xml:space="preserve"> en la categoría </w:t>
      </w:r>
      <w:r>
        <w:rPr>
          <w:rFonts w:ascii="Arial" w:eastAsia="Arial" w:hAnsi="Arial" w:cs="Arial"/>
          <w:b/>
          <w:bCs/>
          <w:sz w:val="20"/>
          <w:szCs w:val="20"/>
        </w:rPr>
        <w:t>Promoter</w:t>
      </w:r>
      <w:r>
        <w:rPr>
          <w:rFonts w:ascii="Arial" w:eastAsia="Arial" w:hAnsi="Arial" w:cs="Arial"/>
          <w:sz w:val="20"/>
          <w:szCs w:val="20"/>
        </w:rPr>
        <w:t xml:space="preserve"> responde a la necesidad de asegurar que los equipos y periféricos (incluidos teclados y mouse) provengan de fabricantes con participación plena y verificable en el desarrollo de los estándares internacionales de seguridad para plataformas de cómputo.</w:t>
      </w:r>
    </w:p>
    <w:p w14:paraId="6287E7F6"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Este requisito busca garantizar que los periféricos ofertados sean </w:t>
      </w:r>
      <w:r>
        <w:rPr>
          <w:rFonts w:ascii="Arial" w:eastAsia="Arial" w:hAnsi="Arial" w:cs="Arial"/>
          <w:b/>
          <w:bCs/>
          <w:sz w:val="20"/>
          <w:szCs w:val="20"/>
        </w:rPr>
        <w:t>totalmente compatibles con los equipos principales bajo los mismos parámetros de fabricantes</w:t>
      </w:r>
      <w:r>
        <w:rPr>
          <w:rFonts w:ascii="Arial" w:eastAsia="Arial" w:hAnsi="Arial" w:cs="Arial"/>
          <w:sz w:val="20"/>
          <w:szCs w:val="20"/>
        </w:rPr>
        <w:t>, asegurando uniformidad, interoperabilidad y cumplimiento de las especificaciones técnicas exigidas en el pliego.</w:t>
      </w:r>
    </w:p>
    <w:p w14:paraId="12DAB252"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En consecuencia, únicamente se aceptarán equipos y periféricos cuyos fabricantes acrediten la membresía en la categoría </w:t>
      </w:r>
      <w:r>
        <w:rPr>
          <w:rFonts w:ascii="Arial" w:eastAsia="Arial" w:hAnsi="Arial" w:cs="Arial"/>
          <w:b/>
          <w:bCs/>
          <w:sz w:val="20"/>
          <w:szCs w:val="20"/>
        </w:rPr>
        <w:t>Promoter</w:t>
      </w:r>
      <w:r>
        <w:rPr>
          <w:rFonts w:ascii="Arial" w:eastAsia="Arial" w:hAnsi="Arial" w:cs="Arial"/>
          <w:sz w:val="20"/>
          <w:szCs w:val="20"/>
        </w:rPr>
        <w:t xml:space="preserve"> o superior, condición verificable en el sitio web oficial </w:t>
      </w:r>
      <w:r>
        <w:rPr>
          <w:rFonts w:ascii="Arial" w:eastAsia="Arial" w:hAnsi="Arial" w:cs="Arial"/>
          <w:sz w:val="20"/>
          <w:szCs w:val="20"/>
        </w:rPr>
        <w:lastRenderedPageBreak/>
        <w:t xml:space="preserve">de </w:t>
      </w:r>
      <w:r>
        <w:rPr>
          <w:rFonts w:ascii="Arial" w:eastAsia="Arial" w:hAnsi="Arial" w:cs="Arial"/>
          <w:b/>
          <w:bCs/>
          <w:sz w:val="20"/>
          <w:szCs w:val="20"/>
        </w:rPr>
        <w:t>Trusted Computing Group</w:t>
      </w:r>
      <w:r>
        <w:rPr>
          <w:rFonts w:ascii="Arial" w:eastAsia="Arial" w:hAnsi="Arial" w:cs="Arial"/>
          <w:sz w:val="20"/>
          <w:szCs w:val="20"/>
        </w:rPr>
        <w:t>. Se aclara además que existe pluralidad de marcas en el mercado que cumplen con este requisito, lo que garantiza la libre concurrencia y la selección objetiva dentro del proceso.</w:t>
      </w:r>
    </w:p>
    <w:p w14:paraId="6AF7A11E" w14:textId="77777777" w:rsidR="00BE6367" w:rsidRDefault="00BE6367">
      <w:pPr>
        <w:jc w:val="both"/>
        <w:rPr>
          <w:rFonts w:ascii="Arial" w:eastAsia="Arial" w:hAnsi="Arial" w:cs="Arial"/>
          <w:sz w:val="20"/>
          <w:szCs w:val="20"/>
        </w:rPr>
      </w:pPr>
    </w:p>
    <w:tbl>
      <w:tblPr>
        <w:tblStyle w:val="af2"/>
        <w:tblW w:w="8353" w:type="dxa"/>
        <w:tblInd w:w="0"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1570"/>
        <w:gridCol w:w="6783"/>
      </w:tblGrid>
      <w:tr w:rsidR="00BE6367" w14:paraId="664AEF4D"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38ECF7FB"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Sociedad C. B.:</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75F22A3A"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BURSAGAN S.A.</w:t>
            </w:r>
          </w:p>
        </w:tc>
      </w:tr>
      <w:tr w:rsidR="00BE6367" w14:paraId="5C24E500"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63CB3D1B"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Fecha Registro:</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06F41060"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2026-07-10 (15:01)</w:t>
            </w:r>
          </w:p>
        </w:tc>
      </w:tr>
    </w:tbl>
    <w:p w14:paraId="0E721EB3" w14:textId="77777777" w:rsidR="00BE6367" w:rsidRDefault="00BE6367">
      <w:pPr>
        <w:jc w:val="both"/>
        <w:rPr>
          <w:rFonts w:ascii="Arial" w:eastAsia="Arial" w:hAnsi="Arial" w:cs="Arial"/>
          <w:b/>
          <w:bCs/>
          <w:sz w:val="20"/>
          <w:szCs w:val="20"/>
        </w:rPr>
      </w:pPr>
    </w:p>
    <w:p w14:paraId="4B106981"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Documento de Condiciones Especiales (DCE)</w:t>
      </w:r>
    </w:p>
    <w:p w14:paraId="4FAC67B5" w14:textId="77777777" w:rsidR="00BE6367" w:rsidRDefault="00BE6367">
      <w:pPr>
        <w:jc w:val="both"/>
        <w:rPr>
          <w:rFonts w:ascii="Arial" w:eastAsia="Arial" w:hAnsi="Arial" w:cs="Arial"/>
          <w:sz w:val="20"/>
          <w:szCs w:val="20"/>
        </w:rPr>
      </w:pPr>
    </w:p>
    <w:p w14:paraId="24136F89"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18AA9A03"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63E32441"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1BF2B02D" w14:textId="77777777" w:rsidR="00BE6367" w:rsidRDefault="00BE6367">
      <w:pPr>
        <w:jc w:val="both"/>
        <w:rPr>
          <w:rFonts w:ascii="Arial" w:eastAsia="Arial" w:hAnsi="Arial" w:cs="Arial"/>
          <w:sz w:val="20"/>
          <w:szCs w:val="20"/>
        </w:rPr>
      </w:pPr>
    </w:p>
    <w:p w14:paraId="485D6AAA"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 xml:space="preserve">Documento(s) Adjunto(s): </w:t>
      </w:r>
    </w:p>
    <w:p w14:paraId="42D1DE10"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Ficha Técnica de Negociación</w:t>
      </w:r>
    </w:p>
    <w:p w14:paraId="0840F1A5" w14:textId="77777777" w:rsidR="00BE6367" w:rsidRDefault="00BE6367">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p>
    <w:p w14:paraId="3E82F4A6" w14:textId="77777777" w:rsidR="00BE6367" w:rsidRDefault="00C90F6A">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r>
        <w:rPr>
          <w:rFonts w:ascii="Arial" w:eastAsia="Arial" w:hAnsi="Arial" w:cs="Arial"/>
          <w:sz w:val="20"/>
          <w:szCs w:val="20"/>
        </w:rPr>
        <w:t>Buenas tardes,</w:t>
      </w:r>
    </w:p>
    <w:p w14:paraId="40F05680" w14:textId="77777777" w:rsidR="00BE6367" w:rsidRDefault="00BE6367">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p>
    <w:p w14:paraId="5F33504E" w14:textId="77777777" w:rsidR="00BE6367" w:rsidRDefault="00C90F6A">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r>
        <w:rPr>
          <w:rFonts w:ascii="Arial" w:eastAsia="Arial" w:hAnsi="Arial" w:cs="Arial"/>
          <w:sz w:val="20"/>
          <w:szCs w:val="20"/>
        </w:rPr>
        <w:t>Envio observaciones para la negociación</w:t>
      </w:r>
    </w:p>
    <w:p w14:paraId="4E9C9814"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Documento(s) Adjunto(s): Sí</w:t>
      </w:r>
    </w:p>
    <w:p w14:paraId="688305A3" w14:textId="77777777" w:rsidR="00BE6367" w:rsidRDefault="00BE6367">
      <w:pPr>
        <w:jc w:val="both"/>
        <w:rPr>
          <w:rFonts w:ascii="Arial" w:eastAsia="Arial" w:hAnsi="Arial" w:cs="Arial"/>
          <w:sz w:val="20"/>
          <w:szCs w:val="20"/>
        </w:rPr>
      </w:pPr>
    </w:p>
    <w:p w14:paraId="057C3E45" w14:textId="77777777" w:rsidR="00BE6367" w:rsidRDefault="00C90F6A">
      <w:pPr>
        <w:widowControl w:val="0"/>
        <w:jc w:val="both"/>
        <w:rPr>
          <w:rFonts w:ascii="Arial" w:eastAsia="Arial" w:hAnsi="Arial" w:cs="Arial"/>
          <w:sz w:val="20"/>
          <w:szCs w:val="20"/>
        </w:rPr>
      </w:pPr>
      <w:r>
        <w:rPr>
          <w:rFonts w:ascii="Arial" w:eastAsia="Arial" w:hAnsi="Arial" w:cs="Arial"/>
          <w:sz w:val="20"/>
          <w:szCs w:val="20"/>
        </w:rPr>
        <w:t>julio 10 de 2026</w:t>
      </w:r>
    </w:p>
    <w:p w14:paraId="0A6DA0CE" w14:textId="77777777" w:rsidR="00BE6367" w:rsidRDefault="00C90F6A">
      <w:pPr>
        <w:widowControl w:val="0"/>
        <w:jc w:val="both"/>
        <w:rPr>
          <w:rFonts w:ascii="Arial" w:eastAsia="Arial" w:hAnsi="Arial" w:cs="Arial"/>
          <w:sz w:val="20"/>
          <w:szCs w:val="20"/>
        </w:rPr>
      </w:pPr>
      <w:r>
        <w:rPr>
          <w:rFonts w:ascii="Arial" w:eastAsia="Arial" w:hAnsi="Arial" w:cs="Arial"/>
          <w:sz w:val="20"/>
          <w:szCs w:val="20"/>
        </w:rPr>
        <w:t>Cordial saludo,</w:t>
      </w:r>
    </w:p>
    <w:p w14:paraId="2ABEBA1B" w14:textId="77777777" w:rsidR="00BE6367" w:rsidRDefault="00C90F6A">
      <w:pPr>
        <w:widowControl w:val="0"/>
        <w:jc w:val="both"/>
        <w:rPr>
          <w:rFonts w:ascii="Arial" w:eastAsia="Arial" w:hAnsi="Arial" w:cs="Arial"/>
          <w:sz w:val="20"/>
          <w:szCs w:val="20"/>
        </w:rPr>
      </w:pPr>
      <w:r>
        <w:rPr>
          <w:rFonts w:ascii="Arial" w:eastAsia="Arial" w:hAnsi="Arial" w:cs="Arial"/>
          <w:sz w:val="20"/>
          <w:szCs w:val="20"/>
        </w:rPr>
        <w:t>Por medio del presente, nos permitimos remitir para su consideración las observaciones formuladas al proceso cuyo objeto es "Adquisición, implementación y soporte tecnológico que incluya soluciones audiovisuales, equipos de cómputo y periféricos para la Procuraduría General de la Nación".</w:t>
      </w:r>
    </w:p>
    <w:p w14:paraId="71F66B48" w14:textId="77777777" w:rsidR="00BE6367" w:rsidRDefault="00C90F6A">
      <w:pPr>
        <w:widowControl w:val="0"/>
        <w:jc w:val="both"/>
        <w:rPr>
          <w:rFonts w:ascii="Arial" w:eastAsia="Arial" w:hAnsi="Arial" w:cs="Arial"/>
          <w:sz w:val="20"/>
          <w:szCs w:val="20"/>
        </w:rPr>
      </w:pPr>
      <w:r>
        <w:rPr>
          <w:rFonts w:ascii="Arial" w:eastAsia="Arial" w:hAnsi="Arial" w:cs="Arial"/>
          <w:sz w:val="20"/>
          <w:szCs w:val="20"/>
        </w:rPr>
        <w:t xml:space="preserve">Las observaciones adjuntas tienen como finalidad solicitar la revisión de algunos requisitos habilitantes y técnicos que, desde nuestro análisis, podrían limitar la pluralidad de oferentes y la libre concurrencia, proponiendo alternativas que permiten mantener el cumplimiento de las </w:t>
      </w:r>
      <w:r>
        <w:rPr>
          <w:rFonts w:ascii="Arial" w:eastAsia="Arial" w:hAnsi="Arial" w:cs="Arial"/>
          <w:sz w:val="20"/>
          <w:szCs w:val="20"/>
        </w:rPr>
        <w:lastRenderedPageBreak/>
        <w:t>necesidades de la Entidad sin afectar la idoneidad técnica requerida para la ejecución del contrato.</w:t>
      </w:r>
    </w:p>
    <w:p w14:paraId="157EA251" w14:textId="77777777" w:rsidR="00BE6367" w:rsidRDefault="00C90F6A">
      <w:pPr>
        <w:widowControl w:val="0"/>
        <w:jc w:val="both"/>
        <w:rPr>
          <w:rFonts w:ascii="Arial" w:eastAsia="Arial" w:hAnsi="Arial" w:cs="Arial"/>
          <w:sz w:val="20"/>
          <w:szCs w:val="20"/>
        </w:rPr>
      </w:pPr>
      <w:r>
        <w:rPr>
          <w:rFonts w:ascii="Arial" w:eastAsia="Arial" w:hAnsi="Arial" w:cs="Arial"/>
          <w:sz w:val="20"/>
          <w:szCs w:val="20"/>
        </w:rPr>
        <w:t>Observación 1:</w:t>
      </w:r>
    </w:p>
    <w:p w14:paraId="3625CC54" w14:textId="77777777" w:rsidR="00BE6367" w:rsidRDefault="00C90F6A">
      <w:pPr>
        <w:widowControl w:val="0"/>
        <w:jc w:val="both"/>
        <w:rPr>
          <w:rFonts w:ascii="Arial" w:eastAsia="Arial" w:hAnsi="Arial" w:cs="Arial"/>
          <w:sz w:val="20"/>
          <w:szCs w:val="20"/>
        </w:rPr>
      </w:pPr>
      <w:r>
        <w:rPr>
          <w:rFonts w:ascii="Arial" w:eastAsia="Arial" w:hAnsi="Arial" w:cs="Arial"/>
          <w:sz w:val="20"/>
          <w:szCs w:val="20"/>
        </w:rPr>
        <w:t xml:space="preserve">Con respecto al ítem 1. </w:t>
      </w:r>
      <w:r>
        <w:rPr>
          <w:rFonts w:ascii="Arial" w:eastAsia="Arial" w:hAnsi="Arial" w:cs="Arial"/>
          <w:b/>
          <w:bCs/>
          <w:sz w:val="20"/>
          <w:szCs w:val="20"/>
        </w:rPr>
        <w:t>REQUISITO DE COMITENTE VENDEDOR</w:t>
      </w:r>
    </w:p>
    <w:p w14:paraId="631C7041" w14:textId="77777777" w:rsidR="00BE6367" w:rsidRDefault="00C90F6A">
      <w:pPr>
        <w:widowControl w:val="0"/>
        <w:jc w:val="both"/>
        <w:rPr>
          <w:rFonts w:ascii="Arial" w:eastAsia="Arial" w:hAnsi="Arial" w:cs="Arial"/>
          <w:sz w:val="20"/>
          <w:szCs w:val="20"/>
        </w:rPr>
      </w:pPr>
      <w:r>
        <w:rPr>
          <w:rFonts w:ascii="Arial" w:eastAsia="Arial" w:hAnsi="Arial" w:cs="Arial"/>
          <w:sz w:val="20"/>
          <w:szCs w:val="20"/>
        </w:rPr>
        <w:t>Respetuosamente solicitamos a la Entidad revisar y modificar el requisito de acreditación de la experiencia, en atención a los principios de pluralidad de oferentes, libre concurrencia, igualdad y selección objetiva que rigen la contratación pública.</w:t>
      </w:r>
    </w:p>
    <w:p w14:paraId="550B613A" w14:textId="77777777" w:rsidR="00BE6367" w:rsidRDefault="00C90F6A">
      <w:pPr>
        <w:widowControl w:val="0"/>
        <w:jc w:val="both"/>
        <w:rPr>
          <w:rFonts w:ascii="Arial" w:eastAsia="Arial" w:hAnsi="Arial" w:cs="Arial"/>
          <w:sz w:val="20"/>
          <w:szCs w:val="20"/>
        </w:rPr>
      </w:pPr>
      <w:r>
        <w:rPr>
          <w:rFonts w:ascii="Arial" w:eastAsia="Arial" w:hAnsi="Arial" w:cs="Arial"/>
          <w:sz w:val="20"/>
          <w:szCs w:val="20"/>
        </w:rPr>
        <w:t xml:space="preserve">Actualmente, el pliego establece que la experiencia deberá acreditarse mediante contratos finalizados y/o liquidados. Solicitamos que dicho requisito sea modificado para permitir igualmente la acreditación mediante </w:t>
      </w:r>
      <w:r>
        <w:rPr>
          <w:rFonts w:ascii="Arial" w:eastAsia="Arial" w:hAnsi="Arial" w:cs="Arial"/>
          <w:b/>
          <w:bCs/>
          <w:sz w:val="20"/>
          <w:szCs w:val="20"/>
        </w:rPr>
        <w:t>contratos en ejecución</w:t>
      </w:r>
      <w:r>
        <w:rPr>
          <w:rFonts w:ascii="Arial" w:eastAsia="Arial" w:hAnsi="Arial" w:cs="Arial"/>
          <w:sz w:val="20"/>
          <w:szCs w:val="20"/>
        </w:rPr>
        <w:t>, siempre que estos se encuentren debidamente certificados por la entidad contratante y permitan verificar de manera objetiva su objeto, alcance, valor ejecutado, porcentaje de ejecución y cumplimiento.</w:t>
      </w:r>
    </w:p>
    <w:p w14:paraId="309DD253" w14:textId="77777777" w:rsidR="00BE6367" w:rsidRDefault="00C90F6A">
      <w:pPr>
        <w:widowControl w:val="0"/>
        <w:jc w:val="both"/>
        <w:rPr>
          <w:rFonts w:ascii="Arial" w:eastAsia="Arial" w:hAnsi="Arial" w:cs="Arial"/>
          <w:sz w:val="20"/>
          <w:szCs w:val="20"/>
        </w:rPr>
      </w:pPr>
      <w:r>
        <w:rPr>
          <w:rFonts w:ascii="Arial" w:eastAsia="Arial" w:hAnsi="Arial" w:cs="Arial"/>
          <w:sz w:val="20"/>
          <w:szCs w:val="20"/>
        </w:rPr>
        <w:t>La ejecución de un contrato constituye evidencia de la capacidad técnica, operativa y organizacional del proponente para desarrollar actividades de la misma naturaleza que las requeridas en el presente proceso. En consecuencia, limitar la acreditación únicamente a contratos finalizados o liquidados restringe la participación de empresas que actualmente ejecutan contratos de características similares, aun cuando cuentan con la experiencia y capacidad suficientes para cumplir satisfactoriamente el objeto contractual.</w:t>
      </w:r>
    </w:p>
    <w:p w14:paraId="319A9557" w14:textId="77777777" w:rsidR="00BE6367" w:rsidRDefault="00C90F6A">
      <w:pPr>
        <w:widowControl w:val="0"/>
        <w:jc w:val="both"/>
        <w:rPr>
          <w:rFonts w:ascii="Arial" w:eastAsia="Arial" w:hAnsi="Arial" w:cs="Arial"/>
          <w:sz w:val="20"/>
          <w:szCs w:val="20"/>
        </w:rPr>
      </w:pPr>
      <w:r>
        <w:rPr>
          <w:rFonts w:ascii="Arial" w:eastAsia="Arial" w:hAnsi="Arial" w:cs="Arial"/>
          <w:sz w:val="20"/>
          <w:szCs w:val="20"/>
        </w:rPr>
        <w:t>De igual manera, solicitamos revisar el requisito relacionado con el valor mínimo de la experiencia exigida, actualmente equivalente al 100 % del presupuesto oficial, por cuanto dicho umbral resulta restrictivo y puede limitar la participación de proponentes idóneos.</w:t>
      </w:r>
    </w:p>
    <w:p w14:paraId="1260069F" w14:textId="77777777" w:rsidR="00BE6367" w:rsidRDefault="00C90F6A">
      <w:pPr>
        <w:widowControl w:val="0"/>
        <w:jc w:val="both"/>
        <w:rPr>
          <w:rFonts w:ascii="Arial" w:eastAsia="Arial" w:hAnsi="Arial" w:cs="Arial"/>
          <w:sz w:val="20"/>
          <w:szCs w:val="20"/>
        </w:rPr>
      </w:pPr>
      <w:r>
        <w:rPr>
          <w:rFonts w:ascii="Arial" w:eastAsia="Arial" w:hAnsi="Arial" w:cs="Arial"/>
          <w:sz w:val="20"/>
          <w:szCs w:val="20"/>
        </w:rPr>
        <w:t>Respetuosamente proponemos que el requisito se ajuste al 70 % del presupuesto oficial. Esta modificación permitiría la participación de un mayor número de oferentes que cuentan con amplia experiencia en la ejecución de contratos de naturaleza similar, sin afectar la garantía de capacidad técnica y financiera requerida para la adecuada ejecución del contrato.</w:t>
      </w:r>
    </w:p>
    <w:p w14:paraId="08EAB757" w14:textId="77777777" w:rsidR="00BE6367" w:rsidRDefault="00C90F6A">
      <w:pPr>
        <w:widowControl w:val="0"/>
        <w:jc w:val="both"/>
        <w:rPr>
          <w:rFonts w:ascii="Arial" w:eastAsia="Arial" w:hAnsi="Arial" w:cs="Arial"/>
          <w:sz w:val="20"/>
          <w:szCs w:val="20"/>
        </w:rPr>
      </w:pPr>
      <w:r>
        <w:rPr>
          <w:rFonts w:ascii="Arial" w:eastAsia="Arial" w:hAnsi="Arial" w:cs="Arial"/>
          <w:sz w:val="20"/>
          <w:szCs w:val="20"/>
        </w:rPr>
        <w:t>La reducción del porcentaje exigido no compromete los intereses de la Entidad, pues la idoneidad del contratista continúa siendo verificada mediante los demás requisitos habilitantes técnicos, jurídicos y financieros previstos en el proceso, al tiempo que fortalece la competencia y la posibilidad de obtener mejores condiciones para la contratación.</w:t>
      </w:r>
    </w:p>
    <w:p w14:paraId="2F883336" w14:textId="77777777" w:rsidR="00BE6367" w:rsidRDefault="00C90F6A">
      <w:pPr>
        <w:widowControl w:val="0"/>
        <w:jc w:val="both"/>
        <w:rPr>
          <w:rFonts w:ascii="Arial" w:eastAsia="Arial" w:hAnsi="Arial" w:cs="Arial"/>
          <w:sz w:val="20"/>
          <w:szCs w:val="20"/>
        </w:rPr>
      </w:pPr>
      <w:r>
        <w:rPr>
          <w:rFonts w:ascii="Arial" w:eastAsia="Arial" w:hAnsi="Arial" w:cs="Arial"/>
          <w:sz w:val="20"/>
          <w:szCs w:val="20"/>
        </w:rPr>
        <w:t>Por lo anterior, solicitamos respetuosamente modificar el requisito de experiencia habilitante en los términos expuestos, permitiendo acreditar la experiencia mediante contratos ejecutados, liquidados o en ejecución debidamente certificados, y ajustar el valor mínimo exigido a un porcentaje cercano al 70 % del presupuesto oficial.</w:t>
      </w:r>
    </w:p>
    <w:p w14:paraId="172177B6" w14:textId="77777777" w:rsidR="00BE6367" w:rsidRDefault="00C90F6A">
      <w:pPr>
        <w:widowControl w:val="0"/>
        <w:spacing w:before="240" w:after="240"/>
        <w:jc w:val="both"/>
        <w:rPr>
          <w:rFonts w:ascii="Arial" w:eastAsia="Arial" w:hAnsi="Arial" w:cs="Arial"/>
          <w:b/>
          <w:bCs/>
          <w:sz w:val="20"/>
          <w:szCs w:val="20"/>
        </w:rPr>
      </w:pPr>
      <w:r>
        <w:rPr>
          <w:rFonts w:ascii="Arial" w:eastAsia="Arial" w:hAnsi="Arial" w:cs="Arial"/>
          <w:b/>
          <w:bCs/>
          <w:sz w:val="20"/>
          <w:szCs w:val="20"/>
        </w:rPr>
        <w:t>RESPUESTA A LA OBSERVACIÓN:</w:t>
      </w:r>
    </w:p>
    <w:p w14:paraId="79FA3377" w14:textId="77777777" w:rsidR="00BE6367" w:rsidRDefault="00C90F6A">
      <w:pPr>
        <w:widowControl w:val="0"/>
        <w:spacing w:before="240" w:after="240"/>
        <w:jc w:val="both"/>
        <w:rPr>
          <w:rFonts w:ascii="Arial" w:eastAsia="Arial" w:hAnsi="Arial" w:cs="Arial"/>
          <w:sz w:val="20"/>
          <w:szCs w:val="20"/>
        </w:rPr>
      </w:pPr>
      <w:r>
        <w:rPr>
          <w:rFonts w:ascii="Arial" w:eastAsia="Arial" w:hAnsi="Arial" w:cs="Arial"/>
          <w:sz w:val="20"/>
          <w:szCs w:val="20"/>
        </w:rPr>
        <w:t>No se acepta la observación.</w:t>
      </w:r>
    </w:p>
    <w:p w14:paraId="0E955ED5" w14:textId="77777777" w:rsidR="00BE6367" w:rsidRDefault="00C90F6A">
      <w:pPr>
        <w:widowControl w:val="0"/>
        <w:spacing w:before="240" w:after="240"/>
        <w:jc w:val="both"/>
        <w:rPr>
          <w:rFonts w:ascii="Arial" w:eastAsia="Arial" w:hAnsi="Arial" w:cs="Arial"/>
          <w:b/>
          <w:bCs/>
          <w:sz w:val="20"/>
          <w:szCs w:val="20"/>
        </w:rPr>
      </w:pPr>
      <w:r>
        <w:rPr>
          <w:rFonts w:ascii="Arial" w:eastAsia="Arial" w:hAnsi="Arial" w:cs="Arial"/>
          <w:sz w:val="20"/>
          <w:szCs w:val="20"/>
        </w:rPr>
        <w:t xml:space="preserve">La Entidad mantiene el requisito según el cual la experiencia deberá acreditarse mediante contratos finalizados y/o liquidados, toda vez que esta condición permite verificar de manera cierta, completa y objetiva que las obligaciones contractuales fueron ejecutadas satisfactoriamente y que el proponente cuenta con antecedentes comprobables en el desarrollo de actividades iguales o similares a las requeridas en el presente proceso. </w:t>
      </w:r>
      <w:r>
        <w:rPr>
          <w:rFonts w:ascii="Arial" w:eastAsia="Arial" w:hAnsi="Arial" w:cs="Arial"/>
          <w:b/>
          <w:bCs/>
          <w:sz w:val="20"/>
          <w:szCs w:val="20"/>
        </w:rPr>
        <w:t xml:space="preserve">En consecuencia, la experiencia deberá acreditarse mediante certificación de cumplimiento a satisfacción expedida por el contratante, o mediante acta de liquidación del contrato, documentos </w:t>
      </w:r>
      <w:r>
        <w:rPr>
          <w:rFonts w:ascii="Arial" w:eastAsia="Arial" w:hAnsi="Arial" w:cs="Arial"/>
          <w:b/>
          <w:bCs/>
          <w:sz w:val="20"/>
          <w:szCs w:val="20"/>
        </w:rPr>
        <w:lastRenderedPageBreak/>
        <w:t>que deberán dar cuenta de la terminación satisfactoria de las obligaciones contractuales certificadas.</w:t>
      </w:r>
    </w:p>
    <w:p w14:paraId="1363DBF0" w14:textId="77777777" w:rsidR="00BE6367" w:rsidRDefault="00C90F6A">
      <w:pPr>
        <w:widowControl w:val="0"/>
        <w:spacing w:before="240" w:after="240"/>
        <w:jc w:val="both"/>
        <w:rPr>
          <w:rFonts w:ascii="Arial" w:eastAsia="Arial" w:hAnsi="Arial" w:cs="Arial"/>
          <w:sz w:val="20"/>
          <w:szCs w:val="20"/>
        </w:rPr>
      </w:pPr>
      <w:r>
        <w:rPr>
          <w:rFonts w:ascii="Arial" w:eastAsia="Arial" w:hAnsi="Arial" w:cs="Arial"/>
          <w:sz w:val="20"/>
          <w:szCs w:val="20"/>
        </w:rPr>
        <w:t>Los contratos en ejecución no permiten acreditar integralmente la experiencia exigida, debido a que las obligaciones se encuentran pendientes de culminación y pueden presentarse variaciones respecto de su alcance, valor ejecutado, plazo, condiciones técnicas o cumplimiento. En consecuencia, la ejecución parcial de un contrato no constituye evidencia definitiva de que el proponente haya desarrollado y concluido satisfactoriamente la totalidad de las actividades contratadas.</w:t>
      </w:r>
    </w:p>
    <w:p w14:paraId="78F92F65" w14:textId="77777777" w:rsidR="00BE6367" w:rsidRDefault="00C90F6A">
      <w:pPr>
        <w:widowControl w:val="0"/>
        <w:spacing w:before="240" w:after="240"/>
        <w:jc w:val="both"/>
        <w:rPr>
          <w:rFonts w:ascii="Arial" w:eastAsia="Arial" w:hAnsi="Arial" w:cs="Arial"/>
          <w:sz w:val="20"/>
          <w:szCs w:val="20"/>
        </w:rPr>
      </w:pPr>
      <w:r>
        <w:rPr>
          <w:rFonts w:ascii="Arial" w:eastAsia="Arial" w:hAnsi="Arial" w:cs="Arial"/>
          <w:sz w:val="20"/>
          <w:szCs w:val="20"/>
        </w:rPr>
        <w:t>La certificación del porcentaje o valor ejecutado permite conocer el avance de un contrato, pero no acredita su terminación satisfactoria ni el cumplimiento integral de las obligaciones asumidas. Por lo tanto, aceptar contratos en ejecución generaría dificultades para establecer condiciones uniformes y comparables entre los participantes, especialmente cuando estos presenten porcentajes de avance, componentes ejecutados o niveles de cumplimiento diferentes.</w:t>
      </w:r>
    </w:p>
    <w:p w14:paraId="0A9C3227" w14:textId="77777777" w:rsidR="00BE6367" w:rsidRDefault="00C90F6A">
      <w:pPr>
        <w:widowControl w:val="0"/>
        <w:spacing w:before="240" w:after="240"/>
        <w:jc w:val="both"/>
        <w:rPr>
          <w:rFonts w:ascii="Arial" w:eastAsia="Arial" w:hAnsi="Arial" w:cs="Arial"/>
          <w:sz w:val="20"/>
          <w:szCs w:val="20"/>
        </w:rPr>
      </w:pPr>
      <w:r>
        <w:rPr>
          <w:rFonts w:ascii="Arial" w:eastAsia="Arial" w:hAnsi="Arial" w:cs="Arial"/>
          <w:sz w:val="20"/>
          <w:szCs w:val="20"/>
        </w:rPr>
        <w:t>La exigencia de contratos finalizados y/o liquidados responde a criterios de objetividad, seguridad jurídica y adecuada verificación de la experiencia, y no constituye una restricción injustificada a la participación. Su finalidad es garantizar que los potenciales comitentes vendedores hayan culminado satisfactoriamente contratos representativos y relacionados con el objeto de la negociación, disminuyendo los riesgos técnicos, operativos, logísticos y contractuales asociados a su ejecución.</w:t>
      </w:r>
    </w:p>
    <w:p w14:paraId="253CAA68" w14:textId="77777777" w:rsidR="00BE6367" w:rsidRDefault="00C90F6A">
      <w:pPr>
        <w:widowControl w:val="0"/>
        <w:spacing w:before="240" w:after="240"/>
        <w:jc w:val="both"/>
        <w:rPr>
          <w:rFonts w:ascii="Arial" w:eastAsia="Arial" w:hAnsi="Arial" w:cs="Arial"/>
          <w:sz w:val="20"/>
          <w:szCs w:val="20"/>
        </w:rPr>
      </w:pPr>
      <w:r>
        <w:rPr>
          <w:rFonts w:ascii="Arial" w:eastAsia="Arial" w:hAnsi="Arial" w:cs="Arial"/>
          <w:sz w:val="20"/>
          <w:szCs w:val="20"/>
        </w:rPr>
        <w:t>En relación con la solicitud de reducir el valor mínimo de la experiencia del cien por ciento (100 %) al setenta por ciento (70 %) del presupuesto oficial, la Entidad tampoco accede a la modificación solicitada.</w:t>
      </w:r>
    </w:p>
    <w:p w14:paraId="23622004" w14:textId="77777777" w:rsidR="00BE6367" w:rsidRDefault="00C90F6A">
      <w:pPr>
        <w:widowControl w:val="0"/>
        <w:spacing w:before="240" w:after="240"/>
        <w:jc w:val="both"/>
        <w:rPr>
          <w:rFonts w:ascii="Arial" w:eastAsia="Arial" w:hAnsi="Arial" w:cs="Arial"/>
          <w:sz w:val="20"/>
          <w:szCs w:val="20"/>
        </w:rPr>
      </w:pPr>
      <w:r>
        <w:rPr>
          <w:rFonts w:ascii="Arial" w:eastAsia="Arial" w:hAnsi="Arial" w:cs="Arial"/>
          <w:sz w:val="20"/>
          <w:szCs w:val="20"/>
        </w:rPr>
        <w:t>El porcentaje establecido fue definido teniendo en cuenta la cuantía, alcance, complejidad y diversidad de los componentes que integran la negociación, la cual comprende la adquisición, implementación y soporte tecnológico de soluciones audiovisuales, equipos de cómputo, periféricos y servicios asociados. La magnitud del proceso exige verificar que el futuro comitente vendedor haya ejecutado contratos cuyo valor acumulado permita demostrar una capacidad técnica, administrativa, operativa, financiera y logística proporcional a las obligaciones que deberá asumir.</w:t>
      </w:r>
    </w:p>
    <w:p w14:paraId="0672F0D4" w14:textId="77777777" w:rsidR="00BE6367" w:rsidRDefault="00C90F6A">
      <w:pPr>
        <w:widowControl w:val="0"/>
        <w:spacing w:before="240" w:after="240"/>
        <w:jc w:val="both"/>
        <w:rPr>
          <w:rFonts w:ascii="Arial" w:eastAsia="Arial" w:hAnsi="Arial" w:cs="Arial"/>
          <w:sz w:val="20"/>
          <w:szCs w:val="20"/>
        </w:rPr>
      </w:pPr>
      <w:r>
        <w:rPr>
          <w:rFonts w:ascii="Arial" w:eastAsia="Arial" w:hAnsi="Arial" w:cs="Arial"/>
          <w:sz w:val="20"/>
          <w:szCs w:val="20"/>
        </w:rPr>
        <w:t>La experiencia equivalente al cien por ciento (100 %) del presupuesto oficial constituye un requisito habilitante y no un factor de ponderación. Su finalidad es comprobar que los participantes cuentan con antecedentes suficientes para ejecutar una negociación de magnitud comparable, sin que ello implique otorgar ventajas o puntajes adicionales a quienes acrediten valores superiores.</w:t>
      </w:r>
    </w:p>
    <w:p w14:paraId="028DB169" w14:textId="77777777" w:rsidR="00BE6367" w:rsidRDefault="00C90F6A">
      <w:pPr>
        <w:widowControl w:val="0"/>
        <w:spacing w:before="240" w:after="240"/>
        <w:jc w:val="both"/>
        <w:rPr>
          <w:rFonts w:ascii="Arial" w:eastAsia="Arial" w:hAnsi="Arial" w:cs="Arial"/>
          <w:sz w:val="20"/>
          <w:szCs w:val="20"/>
        </w:rPr>
      </w:pPr>
      <w:r>
        <w:rPr>
          <w:rFonts w:ascii="Arial" w:eastAsia="Arial" w:hAnsi="Arial" w:cs="Arial"/>
          <w:sz w:val="20"/>
          <w:szCs w:val="20"/>
        </w:rPr>
        <w:t>La reducción solicitada al setenta por ciento (70 %) disminuiría el nivel de experiencia considerado necesario por la Entidad para mitigar los riesgos asociados al suministro de un volumen significativo de equipos, la coordinación de diferentes fabricantes y canales de distribución, la instalación e integración de soluciones, la prestación del soporte especializado, la atención de garantías y el cumplimiento de los tiempos establecidos.</w:t>
      </w:r>
    </w:p>
    <w:p w14:paraId="10DBCC0F" w14:textId="77777777" w:rsidR="00BE6367" w:rsidRDefault="00C90F6A">
      <w:pPr>
        <w:widowControl w:val="0"/>
        <w:spacing w:before="240" w:after="240"/>
        <w:jc w:val="both"/>
        <w:rPr>
          <w:rFonts w:ascii="Arial" w:eastAsia="Arial" w:hAnsi="Arial" w:cs="Arial"/>
          <w:sz w:val="20"/>
          <w:szCs w:val="20"/>
        </w:rPr>
      </w:pPr>
      <w:r>
        <w:rPr>
          <w:rFonts w:ascii="Arial" w:eastAsia="Arial" w:hAnsi="Arial" w:cs="Arial"/>
          <w:sz w:val="20"/>
          <w:szCs w:val="20"/>
        </w:rPr>
        <w:t>Los demás requisitos jurídicos, financieros y técnicos no sustituyen la finalidad específica del requisito de experiencia. Cada condición habilitante verifica una capacidad diferente del proponente y, por tanto, el cumplimiento de los indicadores financieros o de las condiciones jurídicas no permite reemplazar la necesidad de demostrar experiencia contractual suficiente y proporcional.</w:t>
      </w:r>
    </w:p>
    <w:p w14:paraId="5B3016CB" w14:textId="77777777" w:rsidR="00BE6367" w:rsidRDefault="00C90F6A">
      <w:pPr>
        <w:widowControl w:val="0"/>
        <w:spacing w:before="240" w:after="240"/>
        <w:jc w:val="both"/>
        <w:rPr>
          <w:rFonts w:ascii="Arial" w:eastAsia="Arial" w:hAnsi="Arial" w:cs="Arial"/>
          <w:sz w:val="20"/>
          <w:szCs w:val="20"/>
        </w:rPr>
      </w:pPr>
      <w:r>
        <w:rPr>
          <w:rFonts w:ascii="Arial" w:eastAsia="Arial" w:hAnsi="Arial" w:cs="Arial"/>
          <w:sz w:val="20"/>
          <w:szCs w:val="20"/>
        </w:rPr>
        <w:t>La pluralidad de oferentes y la libre concurrencia deben armonizarse con el deber de selección objetiva, la adecuada administración de los riesgos y la protección de los recursos públicos. Estos principios no implican que la Entidad deba permitir contratos que aún no han culminado ni reducir el porcentaje de experiencia cuando las condiciones establecidas se encuentran relacionadas con la naturaleza, cuantía y complejidad de la contratación.</w:t>
      </w:r>
    </w:p>
    <w:p w14:paraId="5EE75531" w14:textId="77777777" w:rsidR="00BE6367" w:rsidRDefault="00C90F6A">
      <w:pPr>
        <w:widowControl w:val="0"/>
        <w:spacing w:before="240" w:after="240"/>
        <w:jc w:val="both"/>
        <w:rPr>
          <w:rFonts w:ascii="Arial" w:eastAsia="Arial" w:hAnsi="Arial" w:cs="Arial"/>
          <w:sz w:val="20"/>
          <w:szCs w:val="20"/>
        </w:rPr>
      </w:pPr>
      <w:r>
        <w:rPr>
          <w:rFonts w:ascii="Arial" w:eastAsia="Arial" w:hAnsi="Arial" w:cs="Arial"/>
          <w:sz w:val="20"/>
          <w:szCs w:val="20"/>
        </w:rPr>
        <w:t>Así las cosas, la Entidad mantendrá la acreditación de la experiencia mediante certificación de cumplimiento a satisfacción o acta de liquidación de contratos finalizados y/o liquidados, y conservará como valor mínimo exigido el equivalente al cien por ciento (100 %) del presupuesto oficial, en los términos establecidos en la Ficha Técnica de Negociación.</w:t>
      </w:r>
    </w:p>
    <w:p w14:paraId="6BBC24C5" w14:textId="77777777" w:rsidR="00BE6367" w:rsidRDefault="00C90F6A">
      <w:pPr>
        <w:widowControl w:val="0"/>
        <w:jc w:val="both"/>
        <w:rPr>
          <w:rFonts w:ascii="Arial" w:eastAsia="Arial" w:hAnsi="Arial" w:cs="Arial"/>
          <w:sz w:val="20"/>
          <w:szCs w:val="20"/>
        </w:rPr>
      </w:pPr>
      <w:r>
        <w:rPr>
          <w:rFonts w:ascii="Arial" w:eastAsia="Arial" w:hAnsi="Arial" w:cs="Arial"/>
          <w:sz w:val="20"/>
          <w:szCs w:val="20"/>
        </w:rPr>
        <w:t>Observación 2.</w:t>
      </w:r>
    </w:p>
    <w:p w14:paraId="2BDB8FF4" w14:textId="77777777" w:rsidR="00BE6367" w:rsidRDefault="00C90F6A">
      <w:pPr>
        <w:widowControl w:val="0"/>
        <w:jc w:val="both"/>
        <w:rPr>
          <w:rFonts w:ascii="Arial" w:eastAsia="Arial" w:hAnsi="Arial" w:cs="Arial"/>
          <w:sz w:val="20"/>
          <w:szCs w:val="20"/>
        </w:rPr>
      </w:pPr>
      <w:r>
        <w:rPr>
          <w:rFonts w:ascii="Arial" w:eastAsia="Arial" w:hAnsi="Arial" w:cs="Arial"/>
          <w:sz w:val="20"/>
          <w:szCs w:val="20"/>
        </w:rPr>
        <w:t>Respetuosamente solicitamos a la Entidad revisar el requisito contenido en los documentos del proceso, mediante el cual se exige que el comitente vendedor presente certificación del fabricante de la solución para los ítems 34 (Cámara PTZ) y 35 (Solución de Conmutación Multicámara), acreditando competencias específicas en:</w:t>
      </w:r>
    </w:p>
    <w:p w14:paraId="212E5D2F" w14:textId="77777777" w:rsidR="00BE6367" w:rsidRDefault="00C90F6A">
      <w:pPr>
        <w:widowControl w:val="0"/>
        <w:numPr>
          <w:ilvl w:val="0"/>
          <w:numId w:val="51"/>
        </w:numPr>
        <w:spacing w:after="0" w:line="240" w:lineRule="auto"/>
        <w:jc w:val="both"/>
        <w:rPr>
          <w:rFonts w:ascii="Arial" w:eastAsia="Arial" w:hAnsi="Arial" w:cs="Arial"/>
        </w:rPr>
      </w:pPr>
      <w:r>
        <w:rPr>
          <w:rFonts w:ascii="Arial" w:eastAsia="Arial" w:hAnsi="Arial" w:cs="Arial"/>
          <w:sz w:val="20"/>
          <w:szCs w:val="20"/>
        </w:rPr>
        <w:t>Diseño de soluciones de video inteligente.</w:t>
      </w:r>
    </w:p>
    <w:p w14:paraId="0AB989E0" w14:textId="77777777" w:rsidR="00BE6367" w:rsidRDefault="00C90F6A">
      <w:pPr>
        <w:widowControl w:val="0"/>
        <w:numPr>
          <w:ilvl w:val="0"/>
          <w:numId w:val="51"/>
        </w:numPr>
        <w:spacing w:after="0" w:line="240" w:lineRule="auto"/>
        <w:jc w:val="both"/>
        <w:rPr>
          <w:rFonts w:ascii="Arial" w:eastAsia="Arial" w:hAnsi="Arial" w:cs="Arial"/>
        </w:rPr>
      </w:pPr>
      <w:r>
        <w:rPr>
          <w:rFonts w:ascii="Arial" w:eastAsia="Arial" w:hAnsi="Arial" w:cs="Arial"/>
          <w:sz w:val="20"/>
          <w:szCs w:val="20"/>
        </w:rPr>
        <w:t>Ingeniería de soluciones de video inteligente.</w:t>
      </w:r>
    </w:p>
    <w:p w14:paraId="0AEB19E4" w14:textId="77777777" w:rsidR="00BE6367" w:rsidRDefault="00BE6367">
      <w:pPr>
        <w:widowControl w:val="0"/>
        <w:jc w:val="both"/>
        <w:rPr>
          <w:rFonts w:ascii="Arial" w:eastAsia="Arial" w:hAnsi="Arial" w:cs="Arial"/>
          <w:sz w:val="20"/>
          <w:szCs w:val="20"/>
        </w:rPr>
      </w:pPr>
    </w:p>
    <w:p w14:paraId="784CE630" w14:textId="77777777" w:rsidR="00BE6367" w:rsidRDefault="00C90F6A">
      <w:pPr>
        <w:widowControl w:val="0"/>
        <w:jc w:val="both"/>
        <w:rPr>
          <w:rFonts w:ascii="Arial" w:eastAsia="Arial" w:hAnsi="Arial" w:cs="Arial"/>
          <w:sz w:val="20"/>
          <w:szCs w:val="20"/>
        </w:rPr>
      </w:pPr>
      <w:r>
        <w:rPr>
          <w:rFonts w:ascii="Arial" w:eastAsia="Arial" w:hAnsi="Arial" w:cs="Arial"/>
          <w:sz w:val="20"/>
          <w:szCs w:val="20"/>
        </w:rPr>
        <w:t>Lo anterior, por cuanto la redacción actual restringe la acreditación de la experiencia y competencias del personal a una ruta específica de certificación del fabricante, limitando la participación de oferentes que cuentan con personal altamente calificado y certificado por otros fabricantes o mediante programas de certificación equivalentes, cuyas competencias son igualmente idóneas para la correcta ejecución del objeto contractual.</w:t>
      </w:r>
    </w:p>
    <w:p w14:paraId="3927BFA4" w14:textId="77777777" w:rsidR="00BE6367" w:rsidRDefault="00C90F6A">
      <w:pPr>
        <w:widowControl w:val="0"/>
        <w:jc w:val="both"/>
        <w:rPr>
          <w:rFonts w:ascii="Arial" w:eastAsia="Arial" w:hAnsi="Arial" w:cs="Arial"/>
          <w:sz w:val="20"/>
          <w:szCs w:val="20"/>
        </w:rPr>
      </w:pPr>
      <w:r>
        <w:rPr>
          <w:rFonts w:ascii="Arial" w:eastAsia="Arial" w:hAnsi="Arial" w:cs="Arial"/>
          <w:sz w:val="20"/>
          <w:szCs w:val="20"/>
        </w:rPr>
        <w:t xml:space="preserve">Debe tenerse en cuenta que el objeto del proceso corresponde a la </w:t>
      </w:r>
      <w:r>
        <w:rPr>
          <w:rFonts w:ascii="Arial" w:eastAsia="Arial" w:hAnsi="Arial" w:cs="Arial"/>
          <w:b/>
          <w:bCs/>
          <w:sz w:val="20"/>
          <w:szCs w:val="20"/>
        </w:rPr>
        <w:t>"Adquisición, implementación y soporte tecnológico que incluya soluciones audiovisuales, equipos de cómputo y periféricos para la Procuraduría General de la Nación"</w:t>
      </w:r>
      <w:r>
        <w:rPr>
          <w:rFonts w:ascii="Arial" w:eastAsia="Arial" w:hAnsi="Arial" w:cs="Arial"/>
          <w:sz w:val="20"/>
          <w:szCs w:val="20"/>
        </w:rPr>
        <w:t>, por lo que resulta suficiente que el personal demuestre conocimientos y competencias técnicas en el diseño, implementación, configuración, administración y soporte de soluciones audiovisuales profesionales, independientemente de la denominación específica de la certificación.</w:t>
      </w:r>
    </w:p>
    <w:p w14:paraId="44EFC853" w14:textId="77777777" w:rsidR="00BE6367" w:rsidRDefault="00C90F6A">
      <w:pPr>
        <w:widowControl w:val="0"/>
        <w:jc w:val="both"/>
        <w:rPr>
          <w:rFonts w:ascii="Arial" w:eastAsia="Arial" w:hAnsi="Arial" w:cs="Arial"/>
          <w:sz w:val="20"/>
          <w:szCs w:val="20"/>
        </w:rPr>
      </w:pPr>
      <w:r>
        <w:rPr>
          <w:rFonts w:ascii="Arial" w:eastAsia="Arial" w:hAnsi="Arial" w:cs="Arial"/>
          <w:sz w:val="20"/>
          <w:szCs w:val="20"/>
        </w:rPr>
        <w:t>En aplicación de los principios de pluralidad de oferentes, libre concurrencia, igualdad y selección objetiva, solicitamos que el requisito sea modificado para permitir la acreditación mediante certificaciones del fabricante de la solución o certificaciones equivalentes, que acrediten competencias relacionadas con el diseño, implementación, ingeniería, configuración, administración o soporte de soluciones audiovisuales profesionales, video profesional, infraestructura audiovisual o tecnologías equivalentes relacionadas con el objeto del contrato.</w:t>
      </w:r>
    </w:p>
    <w:p w14:paraId="3DE4F883" w14:textId="77777777" w:rsidR="00BE6367" w:rsidRDefault="00C90F6A">
      <w:pPr>
        <w:widowControl w:val="0"/>
        <w:jc w:val="both"/>
        <w:rPr>
          <w:rFonts w:ascii="Arial" w:eastAsia="Arial" w:hAnsi="Arial" w:cs="Arial"/>
          <w:sz w:val="20"/>
          <w:szCs w:val="20"/>
        </w:rPr>
      </w:pPr>
      <w:r>
        <w:rPr>
          <w:rFonts w:ascii="Arial" w:eastAsia="Arial" w:hAnsi="Arial" w:cs="Arial"/>
          <w:sz w:val="20"/>
          <w:szCs w:val="20"/>
        </w:rPr>
        <w:t>En consecuencia, proponemos que el requisito sea ajustado de la siguiente manera:</w:t>
      </w:r>
    </w:p>
    <w:p w14:paraId="141E83B2" w14:textId="77777777" w:rsidR="00BE6367" w:rsidRDefault="00C90F6A">
      <w:pPr>
        <w:widowControl w:val="0"/>
        <w:jc w:val="both"/>
        <w:rPr>
          <w:rFonts w:ascii="Arial" w:eastAsia="Arial" w:hAnsi="Arial" w:cs="Arial"/>
          <w:b/>
          <w:bCs/>
          <w:sz w:val="20"/>
          <w:szCs w:val="20"/>
        </w:rPr>
      </w:pPr>
      <w:r>
        <w:rPr>
          <w:rFonts w:ascii="Arial" w:eastAsia="Arial" w:hAnsi="Arial" w:cs="Arial"/>
          <w:b/>
          <w:bCs/>
          <w:sz w:val="20"/>
          <w:szCs w:val="20"/>
        </w:rPr>
        <w:t>"El comitente vendedor deberá presentar certificación expedida por el fabricante de la solución o certificaciones equivalentes que acrediten que uno o varios integrantes del equipo de trabajo poseen competencias en el diseño, ingeniería, implementación, configuración, administración o soporte de soluciones audiovisuales profesionales o tecnologías equivalentes relacionadas con el objeto del contrato. El cumplimiento de este requisito se acreditará mediante la presentación de los certificados expedidos por el fabricante o entidad certificadora correspondiente, en los cuales se identifique claramente el nombre del profesional, el número del certificado y la fecha de expedición."</w:t>
      </w:r>
    </w:p>
    <w:p w14:paraId="71AF0FCA" w14:textId="77777777" w:rsidR="00BE6367" w:rsidRDefault="00BE6367">
      <w:pPr>
        <w:widowControl w:val="0"/>
        <w:jc w:val="both"/>
        <w:rPr>
          <w:rFonts w:ascii="Arial" w:eastAsia="Arial" w:hAnsi="Arial" w:cs="Arial"/>
          <w:sz w:val="20"/>
          <w:szCs w:val="20"/>
        </w:rPr>
      </w:pPr>
    </w:p>
    <w:p w14:paraId="63FDA733" w14:textId="77777777" w:rsidR="00BE6367" w:rsidRDefault="00C90F6A">
      <w:pPr>
        <w:widowControl w:val="0"/>
        <w:jc w:val="both"/>
        <w:rPr>
          <w:rFonts w:ascii="Arial" w:eastAsia="Arial" w:hAnsi="Arial" w:cs="Arial"/>
          <w:sz w:val="20"/>
          <w:szCs w:val="20"/>
        </w:rPr>
      </w:pPr>
      <w:r>
        <w:rPr>
          <w:rFonts w:ascii="Arial" w:eastAsia="Arial" w:hAnsi="Arial" w:cs="Arial"/>
          <w:sz w:val="20"/>
          <w:szCs w:val="20"/>
        </w:rPr>
        <w:t>La modificación propuesta mantiene la finalidad de garantizar la idoneidad técnica del personal, sin restringir la participación únicamente a quienes posean una certificación con una denominación específica, permitiendo la participación de oferentes que cuentan con certificaciones técnicamente equivalentes y reconocidas en el mercado.</w:t>
      </w:r>
    </w:p>
    <w:p w14:paraId="1504423F" w14:textId="77777777" w:rsidR="00BE6367" w:rsidRDefault="00C90F6A">
      <w:pPr>
        <w:widowControl w:val="0"/>
        <w:jc w:val="both"/>
        <w:rPr>
          <w:rFonts w:ascii="Arial" w:eastAsia="Arial" w:hAnsi="Arial" w:cs="Arial"/>
          <w:b/>
          <w:bCs/>
          <w:sz w:val="20"/>
          <w:szCs w:val="20"/>
        </w:rPr>
      </w:pPr>
      <w:r>
        <w:rPr>
          <w:rFonts w:ascii="Arial" w:eastAsia="Arial" w:hAnsi="Arial" w:cs="Arial"/>
          <w:b/>
          <w:bCs/>
          <w:sz w:val="20"/>
          <w:szCs w:val="20"/>
        </w:rPr>
        <w:t>RESPUESTA A OBSERVACIÓN:</w:t>
      </w:r>
    </w:p>
    <w:p w14:paraId="5F6E21E2" w14:textId="77777777" w:rsidR="00BE6367" w:rsidRDefault="00C90F6A">
      <w:pPr>
        <w:widowControl w:val="0"/>
        <w:spacing w:before="240" w:after="240"/>
        <w:jc w:val="both"/>
        <w:rPr>
          <w:rFonts w:ascii="Arial" w:eastAsia="Arial" w:hAnsi="Arial" w:cs="Arial"/>
          <w:sz w:val="20"/>
          <w:szCs w:val="20"/>
        </w:rPr>
      </w:pPr>
      <w:r>
        <w:rPr>
          <w:rFonts w:ascii="Arial" w:eastAsia="Arial" w:hAnsi="Arial" w:cs="Arial"/>
          <w:sz w:val="20"/>
          <w:szCs w:val="20"/>
        </w:rPr>
        <w:t>No se acepta la observación. La Entidad mantiene el requerimiento para garantizar que el comitente vendedor cuente con personal técnico idóneo, acreditado directamente por el fabricante, en competencias de diseño e ingeniería de soluciones de video inteligente para los ítems 34 (Cámara PTZ) y 35 (Solución de Conmutación Multicámara), por tratarse de componentes especializados cuya correcta configuración e integración requiere de conocimientos técnicos específicos, certificados por quien desarrolla la tecnología.</w:t>
      </w:r>
    </w:p>
    <w:p w14:paraId="1F16C162" w14:textId="77777777" w:rsidR="00BE6367" w:rsidRDefault="00C90F6A">
      <w:pPr>
        <w:widowControl w:val="0"/>
        <w:spacing w:before="240" w:after="240"/>
        <w:jc w:val="both"/>
        <w:rPr>
          <w:rFonts w:ascii="Arial" w:eastAsia="Arial" w:hAnsi="Arial" w:cs="Arial"/>
          <w:sz w:val="20"/>
          <w:szCs w:val="20"/>
        </w:rPr>
      </w:pPr>
      <w:r>
        <w:rPr>
          <w:rFonts w:ascii="Arial" w:eastAsia="Arial" w:hAnsi="Arial" w:cs="Arial"/>
          <w:sz w:val="20"/>
          <w:szCs w:val="20"/>
        </w:rPr>
        <w:t>Esta condición es necesaria para garantizar que el comitente vendedor cuente con personal profesional idóneo que permita entregar a la Entidad un diseño adecuado en la etapa de implementación, y que se asegure una correcta y profesional puesta en funcionamiento de la solución. La Entidad precisa que este requerimiento no limita injustificadamente la participación de los proponentes, en la medida en que la exigencia recae sobre las competencias de diseño e ingeniería propias del ejercicio profesional en esta materia: diseño de soluciones de video inteligente e ingeniería de su implementación, y no sobre una denominación comercial exclusiva o restrictiva. Este tipo de competencias son inherentes a la formación y experiencia de los ingenieros que se dedican a la implementación de soluciones de video inteligente, con independencia del fabricante cuya tecnología certifique dichas competencias, por lo que cualquier profesional idóneo en esta área, certificado por el fabricante de la solución ofertada, se encuentra en capacidad de acreditar el requisito exigido.</w:t>
      </w:r>
    </w:p>
    <w:p w14:paraId="47057DC1" w14:textId="77777777" w:rsidR="00BE6367" w:rsidRDefault="00C90F6A">
      <w:pPr>
        <w:widowControl w:val="0"/>
        <w:spacing w:before="240" w:after="240"/>
        <w:jc w:val="both"/>
        <w:rPr>
          <w:rFonts w:ascii="Arial" w:eastAsia="Arial" w:hAnsi="Arial" w:cs="Arial"/>
          <w:sz w:val="20"/>
          <w:szCs w:val="20"/>
        </w:rPr>
      </w:pPr>
      <w:r>
        <w:rPr>
          <w:rFonts w:ascii="Arial" w:eastAsia="Arial" w:hAnsi="Arial" w:cs="Arial"/>
          <w:sz w:val="20"/>
          <w:szCs w:val="20"/>
        </w:rPr>
        <w:t>En consecuencia, se mantiene el requerimiento en los términos definidos en el FTN para los ítems 34 y 35, sin las modificaciones propuestas por el observante.</w:t>
      </w:r>
    </w:p>
    <w:p w14:paraId="38B634F3" w14:textId="77777777" w:rsidR="00BE6367" w:rsidRDefault="00BE6367">
      <w:pPr>
        <w:jc w:val="both"/>
        <w:rPr>
          <w:rFonts w:ascii="Arial" w:eastAsia="Arial" w:hAnsi="Arial" w:cs="Arial"/>
          <w:sz w:val="20"/>
          <w:szCs w:val="20"/>
        </w:rPr>
      </w:pPr>
    </w:p>
    <w:tbl>
      <w:tblPr>
        <w:tblStyle w:val="af3"/>
        <w:tblW w:w="8353" w:type="dxa"/>
        <w:tblInd w:w="0"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1570"/>
        <w:gridCol w:w="6783"/>
      </w:tblGrid>
      <w:tr w:rsidR="00BE6367" w14:paraId="715FD696"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411A0DF7"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Sociedad C. B.:</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1F96A5B5"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MERCADO Y BOLSA S.A.</w:t>
            </w:r>
          </w:p>
        </w:tc>
      </w:tr>
      <w:tr w:rsidR="00BE6367" w14:paraId="0706CA4E"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04B81D6D"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Fecha Registro:</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264D857D"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2026-07-10 (15:18)</w:t>
            </w:r>
          </w:p>
        </w:tc>
      </w:tr>
    </w:tbl>
    <w:p w14:paraId="2A8BC729" w14:textId="77777777" w:rsidR="00BE6367" w:rsidRDefault="00BE6367">
      <w:pPr>
        <w:jc w:val="both"/>
        <w:rPr>
          <w:rFonts w:ascii="Arial" w:eastAsia="Arial" w:hAnsi="Arial" w:cs="Arial"/>
          <w:b/>
          <w:bCs/>
          <w:sz w:val="20"/>
          <w:szCs w:val="20"/>
        </w:rPr>
      </w:pPr>
    </w:p>
    <w:p w14:paraId="4F644BE8"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Documento de Condiciones Especiales (DCE)</w:t>
      </w:r>
    </w:p>
    <w:p w14:paraId="55C0DF38" w14:textId="77777777" w:rsidR="00BE6367" w:rsidRDefault="00BE6367">
      <w:pPr>
        <w:jc w:val="both"/>
        <w:rPr>
          <w:rFonts w:ascii="Arial" w:eastAsia="Arial" w:hAnsi="Arial" w:cs="Arial"/>
          <w:sz w:val="20"/>
          <w:szCs w:val="20"/>
        </w:rPr>
      </w:pPr>
    </w:p>
    <w:p w14:paraId="63403C50"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3256A227" w14:textId="77777777" w:rsidR="00BE6367" w:rsidRDefault="00C90F6A">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r>
        <w:rPr>
          <w:rFonts w:ascii="Arial" w:eastAsia="Arial" w:hAnsi="Arial" w:cs="Arial"/>
          <w:sz w:val="20"/>
          <w:szCs w:val="20"/>
        </w:rPr>
        <w:t>1</w:t>
      </w:r>
    </w:p>
    <w:p w14:paraId="40978AE2"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10B7DC57" w14:textId="77777777" w:rsidR="00BE6367" w:rsidRDefault="00BE6367">
      <w:pPr>
        <w:jc w:val="both"/>
        <w:rPr>
          <w:rFonts w:ascii="Arial" w:eastAsia="Arial" w:hAnsi="Arial" w:cs="Arial"/>
          <w:sz w:val="20"/>
          <w:szCs w:val="20"/>
        </w:rPr>
      </w:pPr>
    </w:p>
    <w:p w14:paraId="788CC015"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Documento(s) Adjunto(s): Sí</w:t>
      </w:r>
    </w:p>
    <w:p w14:paraId="4AB1D499" w14:textId="77777777" w:rsidR="00BE6367" w:rsidRDefault="00BE6367">
      <w:pPr>
        <w:jc w:val="both"/>
        <w:rPr>
          <w:rFonts w:ascii="Arial" w:eastAsia="Arial" w:hAnsi="Arial" w:cs="Arial"/>
          <w:sz w:val="20"/>
          <w:szCs w:val="20"/>
        </w:rPr>
      </w:pPr>
    </w:p>
    <w:p w14:paraId="2335CBDF"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PANTALLA INTERACTIVA DE 65"</w:t>
      </w:r>
    </w:p>
    <w:p w14:paraId="61DAFF21" w14:textId="77777777" w:rsidR="00BE6367" w:rsidRDefault="00000000">
      <w:pPr>
        <w:jc w:val="both"/>
        <w:rPr>
          <w:rFonts w:ascii="Arial" w:eastAsia="Arial" w:hAnsi="Arial" w:cs="Arial"/>
          <w:sz w:val="20"/>
          <w:szCs w:val="20"/>
        </w:rPr>
      </w:pPr>
      <w:r>
        <w:pict w14:anchorId="4791DBE7">
          <v:rect id="_x0000_i1076" style="width:0;height:1.5pt" o:hralign="center" o:hrstd="t" o:hr="t" fillcolor="#a0a0a0" stroked="f"/>
        </w:pict>
      </w:r>
    </w:p>
    <w:p w14:paraId="297A7C04"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No. 1 – Cámara integrada de 50 MP</w:t>
      </w:r>
    </w:p>
    <w:p w14:paraId="5AF475ED" w14:textId="77777777" w:rsidR="00BE6367" w:rsidRDefault="00C90F6A">
      <w:pPr>
        <w:jc w:val="both"/>
        <w:rPr>
          <w:rFonts w:ascii="Arial" w:eastAsia="Arial" w:hAnsi="Arial" w:cs="Arial"/>
          <w:sz w:val="20"/>
          <w:szCs w:val="20"/>
        </w:rPr>
      </w:pPr>
      <w:r>
        <w:rPr>
          <w:rFonts w:ascii="Arial" w:eastAsia="Arial" w:hAnsi="Arial" w:cs="Arial"/>
          <w:b/>
          <w:bCs/>
          <w:sz w:val="20"/>
          <w:szCs w:val="20"/>
        </w:rPr>
        <w:t>Requisito observado</w:t>
      </w:r>
    </w:p>
    <w:p w14:paraId="6F5CE215"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Cámara integrada mínimo de 50 megapíxeles. </w:t>
      </w:r>
    </w:p>
    <w:p w14:paraId="595A296D"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w:t>
      </w:r>
    </w:p>
    <w:p w14:paraId="72F426B7" w14:textId="77777777" w:rsidR="00BE6367" w:rsidRDefault="00C90F6A">
      <w:pPr>
        <w:jc w:val="both"/>
        <w:rPr>
          <w:rFonts w:ascii="Arial" w:eastAsia="Arial" w:hAnsi="Arial" w:cs="Arial"/>
          <w:sz w:val="20"/>
          <w:szCs w:val="20"/>
        </w:rPr>
      </w:pPr>
      <w:r>
        <w:rPr>
          <w:rFonts w:ascii="Arial" w:eastAsia="Arial" w:hAnsi="Arial" w:cs="Arial"/>
          <w:sz w:val="20"/>
          <w:szCs w:val="20"/>
        </w:rPr>
        <w:t>La resolución del sensor de la cámara no constituye, por sí sola, un indicador de calidad para videoconferencia. Factores como el tamaño del sensor, el procesamiento de imagen, el lente, el campo de visión y los algoritmos de optimización tienen una incidencia mucho mayor en la experiencia del usuario.</w:t>
      </w:r>
    </w:p>
    <w:p w14:paraId="1B7E3ECE" w14:textId="77777777" w:rsidR="00BE6367" w:rsidRDefault="00C90F6A">
      <w:pPr>
        <w:jc w:val="both"/>
        <w:rPr>
          <w:rFonts w:ascii="Arial" w:eastAsia="Arial" w:hAnsi="Arial" w:cs="Arial"/>
          <w:sz w:val="20"/>
          <w:szCs w:val="20"/>
        </w:rPr>
      </w:pPr>
      <w:r>
        <w:rPr>
          <w:rFonts w:ascii="Arial" w:eastAsia="Arial" w:hAnsi="Arial" w:cs="Arial"/>
          <w:sz w:val="20"/>
          <w:szCs w:val="20"/>
        </w:rPr>
        <w:t>Actualmente, la mayoría de pantallas interactivas empresariales de fabricantes como SMART, ViewSonic, Newline, BenQ, Promethean e incluso algunas líneas de MAXHUB incorporan cámaras entre 8 MP y 13 MP con resolución 4K, ofreciendo un desempeño plenamente adecuado para ambientes colaborativos.</w:t>
      </w:r>
    </w:p>
    <w:p w14:paraId="553C3648" w14:textId="77777777" w:rsidR="00BE6367" w:rsidRDefault="00C90F6A">
      <w:pPr>
        <w:jc w:val="both"/>
        <w:rPr>
          <w:rFonts w:ascii="Arial" w:eastAsia="Arial" w:hAnsi="Arial" w:cs="Arial"/>
          <w:sz w:val="20"/>
          <w:szCs w:val="20"/>
        </w:rPr>
      </w:pPr>
      <w:r>
        <w:rPr>
          <w:rFonts w:ascii="Arial" w:eastAsia="Arial" w:hAnsi="Arial" w:cs="Arial"/>
          <w:sz w:val="20"/>
          <w:szCs w:val="20"/>
        </w:rPr>
        <w:t>La exigencia de una cámara de 50 MP restringe la participación sin que exista una justificación técnica que evidencie un beneficio proporcional.</w:t>
      </w:r>
    </w:p>
    <w:p w14:paraId="01FB5302"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Solicitud</w:t>
      </w:r>
    </w:p>
    <w:p w14:paraId="21AC27F4" w14:textId="77777777" w:rsidR="00BE6367" w:rsidRDefault="00C90F6A">
      <w:pPr>
        <w:jc w:val="both"/>
        <w:rPr>
          <w:rFonts w:ascii="Arial" w:eastAsia="Arial" w:hAnsi="Arial" w:cs="Arial"/>
          <w:sz w:val="20"/>
          <w:szCs w:val="20"/>
        </w:rPr>
      </w:pPr>
      <w:r>
        <w:rPr>
          <w:rFonts w:ascii="Arial" w:eastAsia="Arial" w:hAnsi="Arial" w:cs="Arial"/>
          <w:sz w:val="20"/>
          <w:szCs w:val="20"/>
        </w:rPr>
        <w:t>Solicitamos modificar el requisito por:</w:t>
      </w:r>
    </w:p>
    <w:p w14:paraId="64858645" w14:textId="77777777" w:rsidR="00BE6367" w:rsidRDefault="00C90F6A">
      <w:pPr>
        <w:jc w:val="both"/>
        <w:rPr>
          <w:rFonts w:ascii="Arial" w:eastAsia="Arial" w:hAnsi="Arial" w:cs="Arial"/>
          <w:sz w:val="20"/>
          <w:szCs w:val="20"/>
        </w:rPr>
      </w:pPr>
      <w:r>
        <w:rPr>
          <w:rFonts w:ascii="Arial" w:eastAsia="Arial" w:hAnsi="Arial" w:cs="Arial"/>
          <w:sz w:val="20"/>
          <w:szCs w:val="20"/>
        </w:rPr>
        <w:t>"Cámara integrada con resolución mínima 4K o equivalente, garantizando calidad para videoconferencia."</w:t>
      </w:r>
    </w:p>
    <w:p w14:paraId="717CF29C"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617439F0"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se acepta la observación. La Entidad mantiene el requisito de cámara integrada de mínimo 50MP, así como el ángulo de visión (HFOV) exigido en la ficha técnica, por las siguientes razones:</w:t>
      </w:r>
    </w:p>
    <w:p w14:paraId="42DFA259"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 xml:space="preserve">La Entidad constató la existencia de una pluralidad de fabricantes en capacidad de ofertar equipos con cámara integrada de 50MP o superior, por lo cual no se configura una restricción indebida a la libre concurrencia. Sin perjuicio de lo anterior, la Entidad precisa que la resolución de sensor exigida (50MP) no resulta incompatible con el uso previsto de videoconferencia, ni implica una exigencia desproporcionada frente a dicho propósito, por cuanto la alta resolución del sensor permite ejecutar funciones de recorte digital, zoom sin pérdida de calidad y generación de múltiples encuadres virtuales a partir de una sola captura, funcionalidades estrechamente relacionadas con la capacidad de encuadre automático por inteligencia artificial (Smart Framing y equivalentes) exigida en otro punto de la ficha técnica. </w:t>
      </w:r>
    </w:p>
    <w:p w14:paraId="18641B5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se mantienen las exigencias de resolución de cámara (50MP) y ángulo de visión (HFOV) en los términos definidos en la ficha técnica.</w:t>
      </w:r>
    </w:p>
    <w:p w14:paraId="53794E0A" w14:textId="77777777" w:rsidR="00BE6367" w:rsidRDefault="00000000">
      <w:pPr>
        <w:jc w:val="both"/>
        <w:rPr>
          <w:rFonts w:ascii="Arial" w:eastAsia="Arial" w:hAnsi="Arial" w:cs="Arial"/>
          <w:sz w:val="20"/>
          <w:szCs w:val="20"/>
        </w:rPr>
      </w:pPr>
      <w:r>
        <w:pict w14:anchorId="41AE1631">
          <v:rect id="_x0000_i1077" style="width:0;height:1.5pt" o:hralign="center" o:hrstd="t" o:hr="t" fillcolor="#a0a0a0" stroked="f"/>
        </w:pict>
      </w:r>
    </w:p>
    <w:p w14:paraId="6FB3BE61"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No. 2 – Campo de visión exactamente de 98°</w:t>
      </w:r>
    </w:p>
    <w:p w14:paraId="5D9B8CE4" w14:textId="77777777" w:rsidR="00BE6367" w:rsidRDefault="00C90F6A">
      <w:pPr>
        <w:jc w:val="both"/>
        <w:rPr>
          <w:rFonts w:ascii="Arial" w:eastAsia="Arial" w:hAnsi="Arial" w:cs="Arial"/>
          <w:sz w:val="20"/>
          <w:szCs w:val="20"/>
        </w:rPr>
      </w:pPr>
      <w:r>
        <w:rPr>
          <w:rFonts w:ascii="Arial" w:eastAsia="Arial" w:hAnsi="Arial" w:cs="Arial"/>
          <w:b/>
          <w:bCs/>
          <w:sz w:val="20"/>
          <w:szCs w:val="20"/>
        </w:rPr>
        <w:t>Requisito observado</w:t>
      </w:r>
    </w:p>
    <w:p w14:paraId="3378F832"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Campo de visión (HFOV) de 98°. </w:t>
      </w:r>
    </w:p>
    <w:p w14:paraId="42D6692F"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w:t>
      </w:r>
    </w:p>
    <w:p w14:paraId="368E13CE" w14:textId="77777777" w:rsidR="00BE6367" w:rsidRDefault="00C90F6A">
      <w:pPr>
        <w:jc w:val="both"/>
        <w:rPr>
          <w:rFonts w:ascii="Arial" w:eastAsia="Arial" w:hAnsi="Arial" w:cs="Arial"/>
          <w:sz w:val="20"/>
          <w:szCs w:val="20"/>
        </w:rPr>
      </w:pPr>
      <w:r>
        <w:rPr>
          <w:rFonts w:ascii="Arial" w:eastAsia="Arial" w:hAnsi="Arial" w:cs="Arial"/>
          <w:sz w:val="20"/>
          <w:szCs w:val="20"/>
        </w:rPr>
        <w:t>El campo de visión adecuado depende del tamaño de la sala y de la distancia entre los participantes y la pantalla. En el mercado existen soluciones con campos de visión de 90°, 95°, 100° o superiores que cumplen eficientemente el mismo propósito.</w:t>
      </w:r>
    </w:p>
    <w:p w14:paraId="039A969D" w14:textId="77777777" w:rsidR="00BE6367" w:rsidRDefault="00C90F6A">
      <w:pPr>
        <w:jc w:val="both"/>
        <w:rPr>
          <w:rFonts w:ascii="Arial" w:eastAsia="Arial" w:hAnsi="Arial" w:cs="Arial"/>
          <w:sz w:val="20"/>
          <w:szCs w:val="20"/>
        </w:rPr>
      </w:pPr>
      <w:r>
        <w:rPr>
          <w:rFonts w:ascii="Arial" w:eastAsia="Arial" w:hAnsi="Arial" w:cs="Arial"/>
          <w:sz w:val="20"/>
          <w:szCs w:val="20"/>
        </w:rPr>
        <w:t>Exigir un valor específico limita la participación de equipos técnicamente equivalentes sin generar una ventaja funcional para la Entidad.</w:t>
      </w:r>
    </w:p>
    <w:p w14:paraId="5C90B12B"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Solicitud</w:t>
      </w:r>
    </w:p>
    <w:p w14:paraId="35E997F0"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Permitir un campo de visión mínimo de </w:t>
      </w:r>
      <w:r>
        <w:rPr>
          <w:rFonts w:ascii="Arial" w:eastAsia="Arial" w:hAnsi="Arial" w:cs="Arial"/>
          <w:b/>
          <w:bCs/>
          <w:sz w:val="20"/>
          <w:szCs w:val="20"/>
        </w:rPr>
        <w:t>90°</w:t>
      </w:r>
      <w:r>
        <w:rPr>
          <w:rFonts w:ascii="Arial" w:eastAsia="Arial" w:hAnsi="Arial" w:cs="Arial"/>
          <w:sz w:val="20"/>
          <w:szCs w:val="20"/>
        </w:rPr>
        <w:t xml:space="preserve"> o superior.</w:t>
      </w:r>
    </w:p>
    <w:p w14:paraId="5D769971"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29E97A4A"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aclara que el requisito de campo de visión (HFOV) de 98° corresponde a un valor mínimo, y no a un valor exacto o cerrado, conforme a la precisión ya efectuada por la Entidad respecto de la metodología de declaración y conversión del ángulo de visión (HFOV/VFOV/D-FOV) en una observación anterior de este mismo proceso. En consecuencia, se admitirán equipos con HFOV de 98° o superior, no siendo procedente reducir dicho piso a 90°, por cuanto dicha exigencia responde a la necesidad de garantizar una adecuada cobertura de captación de los participantes en los espacios de mayor dimensión previstos para el uso del equipo.</w:t>
      </w:r>
    </w:p>
    <w:p w14:paraId="7D05347B"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se acepta, por tanto, la solicitud de reducir el piso mínimo a 90°, mas sí se confirma que el requisito de 98° opera como mínimo habilitante, admitiéndose cualquier valor igual o superior.</w:t>
      </w:r>
    </w:p>
    <w:p w14:paraId="4BBB5D73" w14:textId="77777777" w:rsidR="00BE6367" w:rsidRDefault="00BE6367">
      <w:pPr>
        <w:jc w:val="both"/>
        <w:rPr>
          <w:rFonts w:ascii="Arial" w:eastAsia="Arial" w:hAnsi="Arial" w:cs="Arial"/>
          <w:b/>
          <w:bCs/>
          <w:sz w:val="20"/>
          <w:szCs w:val="20"/>
        </w:rPr>
      </w:pPr>
    </w:p>
    <w:p w14:paraId="6DFCEDE6" w14:textId="77777777" w:rsidR="00BE6367" w:rsidRDefault="00000000">
      <w:pPr>
        <w:jc w:val="both"/>
        <w:rPr>
          <w:rFonts w:ascii="Arial" w:eastAsia="Arial" w:hAnsi="Arial" w:cs="Arial"/>
          <w:sz w:val="20"/>
          <w:szCs w:val="20"/>
        </w:rPr>
      </w:pPr>
      <w:r>
        <w:pict w14:anchorId="4E963782">
          <v:rect id="_x0000_i1078" style="width:0;height:1.5pt" o:hralign="center" o:hrstd="t" o:hr="t" fillcolor="#a0a0a0" stroked="f"/>
        </w:pict>
      </w:r>
    </w:p>
    <w:p w14:paraId="1B3F8AB1"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No. 3 – Mínimo 16 micrófonos</w:t>
      </w:r>
    </w:p>
    <w:p w14:paraId="6FB85EC5" w14:textId="77777777" w:rsidR="00BE6367" w:rsidRDefault="00C90F6A">
      <w:pPr>
        <w:jc w:val="both"/>
        <w:rPr>
          <w:rFonts w:ascii="Arial" w:eastAsia="Arial" w:hAnsi="Arial" w:cs="Arial"/>
          <w:sz w:val="20"/>
          <w:szCs w:val="20"/>
        </w:rPr>
      </w:pPr>
      <w:r>
        <w:rPr>
          <w:rFonts w:ascii="Arial" w:eastAsia="Arial" w:hAnsi="Arial" w:cs="Arial"/>
          <w:b/>
          <w:bCs/>
          <w:sz w:val="20"/>
          <w:szCs w:val="20"/>
        </w:rPr>
        <w:t>Requisito observado</w:t>
      </w:r>
    </w:p>
    <w:p w14:paraId="0F18ADCC"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Mínimo 16 micrófonos integrados con alcance de 10 metros. </w:t>
      </w:r>
    </w:p>
    <w:p w14:paraId="40D012E6"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w:t>
      </w:r>
    </w:p>
    <w:p w14:paraId="0971C658" w14:textId="77777777" w:rsidR="00BE6367" w:rsidRDefault="00C90F6A">
      <w:pPr>
        <w:jc w:val="both"/>
        <w:rPr>
          <w:rFonts w:ascii="Arial" w:eastAsia="Arial" w:hAnsi="Arial" w:cs="Arial"/>
          <w:sz w:val="20"/>
          <w:szCs w:val="20"/>
        </w:rPr>
      </w:pPr>
      <w:r>
        <w:rPr>
          <w:rFonts w:ascii="Arial" w:eastAsia="Arial" w:hAnsi="Arial" w:cs="Arial"/>
          <w:sz w:val="20"/>
          <w:szCs w:val="20"/>
        </w:rPr>
        <w:t>El número de micrófonos no determina de manera directa la calidad en la captura de audio. El desempeño depende principalmente de tecnologías como beamforming, cancelación de ruido, cancelación de eco y procesamiento digital de señales (DSP).</w:t>
      </w:r>
    </w:p>
    <w:p w14:paraId="6CD2C7B4" w14:textId="77777777" w:rsidR="00BE6367" w:rsidRDefault="00C90F6A">
      <w:pPr>
        <w:jc w:val="both"/>
        <w:rPr>
          <w:rFonts w:ascii="Arial" w:eastAsia="Arial" w:hAnsi="Arial" w:cs="Arial"/>
          <w:sz w:val="20"/>
          <w:szCs w:val="20"/>
        </w:rPr>
      </w:pPr>
      <w:r>
        <w:rPr>
          <w:rFonts w:ascii="Arial" w:eastAsia="Arial" w:hAnsi="Arial" w:cs="Arial"/>
          <w:sz w:val="20"/>
          <w:szCs w:val="20"/>
        </w:rPr>
        <w:t>Existen soluciones ampliamente reconocidas en el mercado con arreglos de 6, 8 o 12 micrófonos que ofrecen un desempeño igual o superior gracias a sus algoritmos de procesamiento.</w:t>
      </w:r>
    </w:p>
    <w:p w14:paraId="6D4424E5" w14:textId="77777777" w:rsidR="00BE6367" w:rsidRDefault="00C90F6A">
      <w:pPr>
        <w:jc w:val="both"/>
        <w:rPr>
          <w:rFonts w:ascii="Arial" w:eastAsia="Arial" w:hAnsi="Arial" w:cs="Arial"/>
          <w:sz w:val="20"/>
          <w:szCs w:val="20"/>
        </w:rPr>
      </w:pPr>
      <w:r>
        <w:rPr>
          <w:rFonts w:ascii="Arial" w:eastAsia="Arial" w:hAnsi="Arial" w:cs="Arial"/>
          <w:sz w:val="20"/>
          <w:szCs w:val="20"/>
        </w:rPr>
        <w:t>La exigencia de un número específico de micrófonos puede restringir la pluralidad de oferentes sin aportar un beneficio técnico demostrable.</w:t>
      </w:r>
    </w:p>
    <w:p w14:paraId="6A486398"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Solicitud</w:t>
      </w:r>
    </w:p>
    <w:p w14:paraId="7621A88A" w14:textId="77777777" w:rsidR="00BE6367" w:rsidRDefault="00C90F6A">
      <w:pPr>
        <w:jc w:val="both"/>
        <w:rPr>
          <w:rFonts w:ascii="Arial" w:eastAsia="Arial" w:hAnsi="Arial" w:cs="Arial"/>
          <w:sz w:val="20"/>
          <w:szCs w:val="20"/>
        </w:rPr>
      </w:pPr>
      <w:r>
        <w:rPr>
          <w:rFonts w:ascii="Arial" w:eastAsia="Arial" w:hAnsi="Arial" w:cs="Arial"/>
          <w:sz w:val="20"/>
          <w:szCs w:val="20"/>
        </w:rPr>
        <w:t>Solicitamos exigir capacidad de captación de voz en un rango mínimo de 8 a 10 metros, independientemente del número de micrófonos incorporados.</w:t>
      </w:r>
    </w:p>
    <w:p w14:paraId="044BACAC"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662C03BF"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acepta parcialmente la observación. La Entidad mantiene, para la Pantalla Interactiva de 65", el requerimiento de un mínimo de 16 micrófonos, por corresponder a una necesidad identificada en el análisis técnico y el estudio de mercado que sustentan el presente proceso, orientada a garantizar una cobertura de captación de audio acorde con las dimensiones y el uso previsto para los espacios donde se instalará este equipo.</w:t>
      </w:r>
    </w:p>
    <w:p w14:paraId="4198983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Frente al argumento de que el desempeño de la captación de audio depende principalmente de tecnologías de procesamiento (beamforming, cancelación de ruido, cancelación de eco y procesamiento digital de señales - DSP), y no exclusivamente del número de micrófonos, la Entidad coincide en la relevancia de dichas tecnologías, motivo por el cual en concordancia con lo ya precisado en respuesta a observaciones anteriores sobre este mismo requisito se exige que la totalidad de los micrófonos ofertados cuenten con Reducción Activa de Ruido (ANR) y Control Automático de Ganancia (AGC). No obstante, la Entidad considera que dichas tecnologías de procesamiento son complementarias y no sustitutivas de una cobertura física de captación adecuada al número de puntos de audio previstos en el espacio, por lo cual se mantiene la exigencia de cantidad mínima como garantía adicional de cobertura, sin perjuicio de admitir que dicha cantidad se logre mediante micrófonos integrados en el chasis del equipo o módulos de expansión suministrados por el fabricante, bajo las siguientes condiciones: (i) los micrófonos integrados en el chasis del equipo deberán garantizar una cobertura de captación efectiva de mínimo 10 metros; y (ii) la totalidad de los micrófonos ofertados integrados o de expansión deberán contar con tecnología de beamforming, ANR y AGC, a fin de asegurar un estándar de calidad de audio acorde con las mejores prácticas de la industria.</w:t>
      </w:r>
    </w:p>
    <w:p w14:paraId="161564E8"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ficha técnica de la Pantalla Interactiva de 65" será ajustada para precisar que el requisito de 16 micrófonos podrá cumplirse mediante micrófonos integrados o módulos de expansión del mismo fabricante, exigiéndose en todo caso: (i) que los micrófonos integrados en el chasis garanticen una cobertura de captación efectiva de mínimo 10 metros, y (ii) tecnología de beamforming, ANR y AGC en la totalidad de los micrófonos ofertados.</w:t>
      </w:r>
    </w:p>
    <w:p w14:paraId="4DCCDEB7" w14:textId="77777777" w:rsidR="00BE6367" w:rsidRDefault="00BE6367">
      <w:pPr>
        <w:jc w:val="both"/>
        <w:rPr>
          <w:rFonts w:ascii="Arial" w:eastAsia="Arial" w:hAnsi="Arial" w:cs="Arial"/>
          <w:sz w:val="20"/>
          <w:szCs w:val="20"/>
        </w:rPr>
      </w:pPr>
    </w:p>
    <w:p w14:paraId="4788E26E" w14:textId="77777777" w:rsidR="00BE6367" w:rsidRDefault="00000000">
      <w:pPr>
        <w:jc w:val="both"/>
        <w:rPr>
          <w:rFonts w:ascii="Arial" w:eastAsia="Arial" w:hAnsi="Arial" w:cs="Arial"/>
          <w:sz w:val="20"/>
          <w:szCs w:val="20"/>
        </w:rPr>
      </w:pPr>
      <w:r>
        <w:pict w14:anchorId="73DC4AAB">
          <v:rect id="_x0000_i1079" style="width:0;height:1.5pt" o:hralign="center" o:hrstd="t" o:hr="t" fillcolor="#a0a0a0" stroked="f"/>
        </w:pict>
      </w:r>
    </w:p>
    <w:p w14:paraId="69636888"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No. 5 – Memoria RAM mínima de 8 GB</w:t>
      </w:r>
    </w:p>
    <w:p w14:paraId="25AE09B1"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w:t>
      </w:r>
    </w:p>
    <w:p w14:paraId="20B68E70" w14:textId="77777777" w:rsidR="00BE6367" w:rsidRDefault="00C90F6A">
      <w:pPr>
        <w:jc w:val="both"/>
        <w:rPr>
          <w:rFonts w:ascii="Arial" w:eastAsia="Arial" w:hAnsi="Arial" w:cs="Arial"/>
          <w:sz w:val="20"/>
          <w:szCs w:val="20"/>
        </w:rPr>
      </w:pPr>
      <w:r>
        <w:rPr>
          <w:rFonts w:ascii="Arial" w:eastAsia="Arial" w:hAnsi="Arial" w:cs="Arial"/>
          <w:sz w:val="20"/>
          <w:szCs w:val="20"/>
        </w:rPr>
        <w:t>Si bien la memoria RAM contribuye al desempeño del sistema, la Entidad no evidencia que las aplicaciones previstas requieran necesariamente una capacidad mínima de 8 GB. Existen soluciones comerciales con 4 GB o 6 GB que ofrecen un funcionamiento adecuado para las funciones propias de una pantalla interactiva.</w:t>
      </w:r>
    </w:p>
    <w:p w14:paraId="16832EF0" w14:textId="77777777" w:rsidR="00BE6367" w:rsidRDefault="00C90F6A">
      <w:pPr>
        <w:jc w:val="both"/>
        <w:rPr>
          <w:rFonts w:ascii="Arial" w:eastAsia="Arial" w:hAnsi="Arial" w:cs="Arial"/>
          <w:sz w:val="20"/>
          <w:szCs w:val="20"/>
        </w:rPr>
      </w:pPr>
      <w:r>
        <w:rPr>
          <w:rFonts w:ascii="Arial" w:eastAsia="Arial" w:hAnsi="Arial" w:cs="Arial"/>
          <w:sz w:val="20"/>
          <w:szCs w:val="20"/>
        </w:rPr>
        <w:t>La exigencia debería sustentarse en requerimientos funcionales y no únicamente en una capacidad específica.</w:t>
      </w:r>
    </w:p>
    <w:p w14:paraId="41AC7545"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Solicitud</w:t>
      </w:r>
    </w:p>
    <w:p w14:paraId="101BA7DE" w14:textId="77777777" w:rsidR="00BE6367" w:rsidRDefault="00C90F6A">
      <w:pPr>
        <w:jc w:val="both"/>
        <w:rPr>
          <w:rFonts w:ascii="Arial" w:eastAsia="Arial" w:hAnsi="Arial" w:cs="Arial"/>
          <w:sz w:val="20"/>
          <w:szCs w:val="20"/>
        </w:rPr>
      </w:pPr>
      <w:r>
        <w:rPr>
          <w:rFonts w:ascii="Arial" w:eastAsia="Arial" w:hAnsi="Arial" w:cs="Arial"/>
          <w:sz w:val="20"/>
          <w:szCs w:val="20"/>
        </w:rPr>
        <w:t>Permitir equipos con la memoria recomendada por el fabricante para garantizar el correcto funcionamiento de la solución.</w:t>
      </w:r>
    </w:p>
    <w:p w14:paraId="1003B449"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792816A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se acepta la observación. La Entidad mantiene el requisito de memoria RAM mínima de 8 GB para la Pantalla Interactiva de 65", por cuanto dicha capacidad resulta necesaria para garantizar el funcionamiento estable y simultáneo de las aplicaciones y funcionalidades exigidas para el equipo, tales como el sistema operativo integrado, el software de pizarra digital interactiva, las aplicaciones de videoconferencia y las funciones de procesamiento de inteligencia artificial (encuadre automático / Smart Framing y equivalentes) previstas en otro punto de la ficha técnica, cuyo funcionamiento concurrente demanda una capacidad de memoria superior a la que ofrecen los equipos de 4 GB o 6 GB referidos por el observante.</w:t>
      </w:r>
    </w:p>
    <w:p w14:paraId="11FAF9F7"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De otra parte, la Entidad no acoge la alternativa propuesta consistente en admitir "la memoria recomendada por el fabricante", por cuanto dicho criterio no constituye un parámetro objetivo, verificable ni uniforme para la evaluación de las ofertas, en la medida en que dependería exclusivamente de la determinación unilateral de cada fabricante, en desmedro de los principios de transparencia y selección objetiva que rigen la contratación estatal (arts. 24 Ley 80 de 1993 y 5 Ley 1150 de 2007).</w:t>
      </w:r>
    </w:p>
    <w:p w14:paraId="645429C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se mantiene el requisito de memoria RAM mínima de 8 GB en los términos definidos en la ficha técnica.</w:t>
      </w:r>
    </w:p>
    <w:p w14:paraId="0BD4C311" w14:textId="77777777" w:rsidR="00BE6367" w:rsidRDefault="00BE6367">
      <w:pPr>
        <w:jc w:val="both"/>
        <w:rPr>
          <w:rFonts w:ascii="Arial" w:eastAsia="Arial" w:hAnsi="Arial" w:cs="Arial"/>
          <w:sz w:val="20"/>
          <w:szCs w:val="20"/>
        </w:rPr>
      </w:pPr>
    </w:p>
    <w:p w14:paraId="7C4C26FC" w14:textId="77777777" w:rsidR="00BE6367" w:rsidRDefault="00000000">
      <w:pPr>
        <w:jc w:val="both"/>
        <w:rPr>
          <w:rFonts w:ascii="Arial" w:eastAsia="Arial" w:hAnsi="Arial" w:cs="Arial"/>
          <w:sz w:val="20"/>
          <w:szCs w:val="20"/>
        </w:rPr>
      </w:pPr>
      <w:r>
        <w:pict w14:anchorId="65297728">
          <v:rect id="_x0000_i1080" style="width:0;height:1.5pt" o:hralign="center" o:hrstd="t" o:hr="t" fillcolor="#a0a0a0" stroked="f"/>
        </w:pict>
      </w:r>
    </w:p>
    <w:p w14:paraId="10807A26"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No. 6 – Wi-Fi 6 obligatorio</w:t>
      </w:r>
    </w:p>
    <w:p w14:paraId="2BDACD29" w14:textId="77777777" w:rsidR="00BE6367" w:rsidRDefault="00C90F6A">
      <w:pPr>
        <w:jc w:val="both"/>
        <w:rPr>
          <w:rFonts w:ascii="Arial" w:eastAsia="Arial" w:hAnsi="Arial" w:cs="Arial"/>
          <w:sz w:val="20"/>
          <w:szCs w:val="20"/>
        </w:rPr>
      </w:pPr>
      <w:r>
        <w:rPr>
          <w:rFonts w:ascii="Arial" w:eastAsia="Arial" w:hAnsi="Arial" w:cs="Arial"/>
          <w:b/>
          <w:bCs/>
          <w:sz w:val="20"/>
          <w:szCs w:val="20"/>
        </w:rPr>
        <w:t>Requisito observado</w:t>
      </w:r>
    </w:p>
    <w:p w14:paraId="03FD7112"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Wi-Fi 6. </w:t>
      </w:r>
    </w:p>
    <w:p w14:paraId="2CE7647B"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w:t>
      </w:r>
    </w:p>
    <w:p w14:paraId="44068B37" w14:textId="77777777" w:rsidR="00BE6367" w:rsidRDefault="00C90F6A">
      <w:pPr>
        <w:jc w:val="both"/>
        <w:rPr>
          <w:rFonts w:ascii="Arial" w:eastAsia="Arial" w:hAnsi="Arial" w:cs="Arial"/>
          <w:sz w:val="20"/>
          <w:szCs w:val="20"/>
        </w:rPr>
      </w:pPr>
      <w:r>
        <w:rPr>
          <w:rFonts w:ascii="Arial" w:eastAsia="Arial" w:hAnsi="Arial" w:cs="Arial"/>
          <w:sz w:val="20"/>
          <w:szCs w:val="20"/>
        </w:rPr>
        <w:t>Aunque Wi-Fi 6 representa una tecnología más reciente, muchas entidades públicas aún operan sobre infraestructura Wi-Fi 5 (802.11ac). Desde el punto de vista funcional, ambos estándares permiten desarrollar actividades de colaboración, videoconferencia y acceso a contenidos sin limitaciones significativas.</w:t>
      </w:r>
    </w:p>
    <w:p w14:paraId="4A17903A" w14:textId="77777777" w:rsidR="00BE6367" w:rsidRDefault="00C90F6A">
      <w:pPr>
        <w:jc w:val="both"/>
        <w:rPr>
          <w:rFonts w:ascii="Arial" w:eastAsia="Arial" w:hAnsi="Arial" w:cs="Arial"/>
          <w:sz w:val="20"/>
          <w:szCs w:val="20"/>
        </w:rPr>
      </w:pPr>
      <w:r>
        <w:rPr>
          <w:rFonts w:ascii="Arial" w:eastAsia="Arial" w:hAnsi="Arial" w:cs="Arial"/>
          <w:sz w:val="20"/>
          <w:szCs w:val="20"/>
        </w:rPr>
        <w:t>La exigencia exclusiva de Wi-Fi 6 puede restringir la participación de equipos plenamente funcionales.</w:t>
      </w:r>
    </w:p>
    <w:p w14:paraId="0504D358"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Solicitud</w:t>
      </w:r>
    </w:p>
    <w:p w14:paraId="252C9B61" w14:textId="77777777" w:rsidR="00BE6367" w:rsidRDefault="00C90F6A">
      <w:pPr>
        <w:jc w:val="both"/>
        <w:rPr>
          <w:rFonts w:ascii="Arial" w:eastAsia="Arial" w:hAnsi="Arial" w:cs="Arial"/>
          <w:sz w:val="20"/>
          <w:szCs w:val="20"/>
        </w:rPr>
      </w:pPr>
      <w:r>
        <w:rPr>
          <w:rFonts w:ascii="Arial" w:eastAsia="Arial" w:hAnsi="Arial" w:cs="Arial"/>
          <w:sz w:val="20"/>
          <w:szCs w:val="20"/>
        </w:rPr>
        <w:t>Permitir Wi-Fi 5 (802.11ac) o superior.</w:t>
      </w:r>
    </w:p>
    <w:p w14:paraId="3B51ABDC" w14:textId="77777777" w:rsidR="00BE6367" w:rsidRDefault="00BE6367">
      <w:pPr>
        <w:spacing w:after="0"/>
        <w:jc w:val="both"/>
        <w:rPr>
          <w:rFonts w:ascii="Arial" w:eastAsia="Arial" w:hAnsi="Arial" w:cs="Arial"/>
          <w:b/>
          <w:bCs/>
          <w:sz w:val="20"/>
          <w:szCs w:val="20"/>
        </w:rPr>
      </w:pPr>
    </w:p>
    <w:p w14:paraId="473AE5AC"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w:t>
      </w:r>
    </w:p>
    <w:p w14:paraId="3989CDA7" w14:textId="77777777" w:rsidR="00BE6367" w:rsidRDefault="00BE6367">
      <w:pPr>
        <w:spacing w:after="0"/>
        <w:jc w:val="both"/>
        <w:rPr>
          <w:rFonts w:ascii="Arial" w:eastAsia="Arial" w:hAnsi="Arial" w:cs="Arial"/>
          <w:sz w:val="20"/>
          <w:szCs w:val="20"/>
        </w:rPr>
      </w:pPr>
    </w:p>
    <w:p w14:paraId="76A35528"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Esta observación reitera un punto ya resuelto por la Entidad en respuesta a una observación anterior sobre este mismo requisito, en la cual se aceptó modificar la exigencia de "Wi-Fi 6" por "Wi-Fi de doble banda (2.4 GHz y 5 GHz) o superior", en aplicación de los principios de libre concurrencia y selección objetiva (art. 5 Ley 1150 de 2007).</w:t>
      </w:r>
    </w:p>
    <w:p w14:paraId="7306E966"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Al respecto, la Entidad confirma que dicha fórmula admite equipos con tecnología Wi-Fi 5 (802.11ac), en la medida en que estos operen bajo la modalidad de doble banda (2.4 GHz y 5 GHz), tal como ocurre en la generalidad de los equipos comerciales de esta generación tecnológica. En consecuencia, la solicitud del observante se encuentra satisfecha con la modificación ya adoptada por la Entidad, sin que resulte necesario efectuar un ajuste adicional a la ficha técnica.</w:t>
      </w:r>
    </w:p>
    <w:p w14:paraId="6B34D049"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reitera que la ficha técnica ya fue ajustada en el sentido de exigir "Wi-Fi de doble banda (2.4 GHz y 5 GHz) o superior", fórmula que resulta comprensiva de la solicitud aquí planteada.</w:t>
      </w:r>
    </w:p>
    <w:p w14:paraId="64275F74" w14:textId="77777777" w:rsidR="00BE6367" w:rsidRDefault="00BE6367">
      <w:pPr>
        <w:spacing w:after="0"/>
        <w:jc w:val="both"/>
        <w:rPr>
          <w:rFonts w:ascii="Arial" w:eastAsia="Arial" w:hAnsi="Arial" w:cs="Arial"/>
          <w:sz w:val="20"/>
          <w:szCs w:val="20"/>
        </w:rPr>
      </w:pPr>
    </w:p>
    <w:p w14:paraId="5585C460" w14:textId="77777777" w:rsidR="00BE6367" w:rsidRDefault="00000000">
      <w:pPr>
        <w:jc w:val="both"/>
        <w:rPr>
          <w:rFonts w:ascii="Arial" w:eastAsia="Arial" w:hAnsi="Arial" w:cs="Arial"/>
          <w:sz w:val="20"/>
          <w:szCs w:val="20"/>
        </w:rPr>
      </w:pPr>
      <w:r>
        <w:lastRenderedPageBreak/>
        <w:pict w14:anchorId="02CD2F3F">
          <v:rect id="_x0000_i1081" style="width:0;height:1.5pt" o:hralign="center" o:hrstd="t" o:hr="t" fillcolor="#a0a0a0" stroked="f"/>
        </w:pict>
      </w:r>
    </w:p>
    <w:p w14:paraId="07CB6B8C"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No. 7 – Función de IA "Smart Framing"</w:t>
      </w:r>
    </w:p>
    <w:p w14:paraId="21E99714" w14:textId="77777777" w:rsidR="00BE6367" w:rsidRDefault="00C90F6A">
      <w:pPr>
        <w:jc w:val="both"/>
        <w:rPr>
          <w:rFonts w:ascii="Arial" w:eastAsia="Arial" w:hAnsi="Arial" w:cs="Arial"/>
          <w:sz w:val="20"/>
          <w:szCs w:val="20"/>
        </w:rPr>
      </w:pPr>
      <w:r>
        <w:rPr>
          <w:rFonts w:ascii="Arial" w:eastAsia="Arial" w:hAnsi="Arial" w:cs="Arial"/>
          <w:b/>
          <w:bCs/>
          <w:sz w:val="20"/>
          <w:szCs w:val="20"/>
        </w:rPr>
        <w:t>Requisito observado</w:t>
      </w:r>
    </w:p>
    <w:p w14:paraId="19559D1B"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Funciones IA – Smart Framing. </w:t>
      </w:r>
    </w:p>
    <w:p w14:paraId="0478C930"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w:t>
      </w:r>
    </w:p>
    <w:p w14:paraId="28CAE8A4" w14:textId="77777777" w:rsidR="00BE6367" w:rsidRDefault="00C90F6A">
      <w:pPr>
        <w:jc w:val="both"/>
        <w:rPr>
          <w:rFonts w:ascii="Arial" w:eastAsia="Arial" w:hAnsi="Arial" w:cs="Arial"/>
          <w:sz w:val="20"/>
          <w:szCs w:val="20"/>
        </w:rPr>
      </w:pPr>
      <w:r>
        <w:rPr>
          <w:rFonts w:ascii="Arial" w:eastAsia="Arial" w:hAnsi="Arial" w:cs="Arial"/>
          <w:sz w:val="20"/>
          <w:szCs w:val="20"/>
        </w:rPr>
        <w:t>La funcionalidad "Smart Framing" corresponde a una denominación comercial utilizada por algunos fabricantes para el encuadre automático de participantes. Otros fabricantes implementan funciones equivalentes bajo diferentes nombres comerciales, tales como Auto Framing, Intelligent Framing o AI Camera Tracking.</w:t>
      </w:r>
    </w:p>
    <w:p w14:paraId="0B4BA9E2" w14:textId="77777777" w:rsidR="00BE6367" w:rsidRDefault="00C90F6A">
      <w:pPr>
        <w:jc w:val="both"/>
        <w:rPr>
          <w:rFonts w:ascii="Arial" w:eastAsia="Arial" w:hAnsi="Arial" w:cs="Arial"/>
          <w:sz w:val="20"/>
          <w:szCs w:val="20"/>
        </w:rPr>
      </w:pPr>
      <w:r>
        <w:rPr>
          <w:rFonts w:ascii="Arial" w:eastAsia="Arial" w:hAnsi="Arial" w:cs="Arial"/>
          <w:sz w:val="20"/>
          <w:szCs w:val="20"/>
        </w:rPr>
        <w:t>Mantener una denominación específica puede favorecer determinadas marcas, cuando lo relevante es la funcionalidad y no el nombre utilizado por el fabricante.</w:t>
      </w:r>
    </w:p>
    <w:p w14:paraId="70C0EF75"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Solicitud</w:t>
      </w:r>
    </w:p>
    <w:p w14:paraId="34AF49B9" w14:textId="77777777" w:rsidR="00BE6367" w:rsidRDefault="00C90F6A">
      <w:pPr>
        <w:jc w:val="both"/>
        <w:rPr>
          <w:rFonts w:ascii="Arial" w:eastAsia="Arial" w:hAnsi="Arial" w:cs="Arial"/>
          <w:sz w:val="20"/>
          <w:szCs w:val="20"/>
        </w:rPr>
      </w:pPr>
      <w:r>
        <w:rPr>
          <w:rFonts w:ascii="Arial" w:eastAsia="Arial" w:hAnsi="Arial" w:cs="Arial"/>
          <w:sz w:val="20"/>
          <w:szCs w:val="20"/>
        </w:rPr>
        <w:t>Modificar el requisito por:</w:t>
      </w:r>
    </w:p>
    <w:p w14:paraId="43AC1F8A" w14:textId="77777777" w:rsidR="00BE6367" w:rsidRDefault="00C90F6A">
      <w:pPr>
        <w:jc w:val="both"/>
        <w:rPr>
          <w:rFonts w:ascii="Arial" w:eastAsia="Arial" w:hAnsi="Arial" w:cs="Arial"/>
          <w:sz w:val="20"/>
          <w:szCs w:val="20"/>
        </w:rPr>
      </w:pPr>
      <w:r>
        <w:rPr>
          <w:rFonts w:ascii="Arial" w:eastAsia="Arial" w:hAnsi="Arial" w:cs="Arial"/>
          <w:sz w:val="20"/>
          <w:szCs w:val="20"/>
        </w:rPr>
        <w:t>"La solución deberá incorporar funcionalidades de encuadre automático de participantes o tecnología equivalente basada en inteligencia artificial."</w:t>
      </w:r>
    </w:p>
    <w:p w14:paraId="3D42C919" w14:textId="77777777" w:rsidR="00BE6367" w:rsidRDefault="00BE6367">
      <w:pPr>
        <w:jc w:val="both"/>
        <w:rPr>
          <w:rFonts w:ascii="Arial" w:eastAsia="Arial" w:hAnsi="Arial" w:cs="Arial"/>
          <w:sz w:val="20"/>
          <w:szCs w:val="20"/>
        </w:rPr>
      </w:pPr>
    </w:p>
    <w:p w14:paraId="4629A75D" w14:textId="77777777" w:rsidR="00BE6367" w:rsidRDefault="00BE6367">
      <w:pPr>
        <w:jc w:val="both"/>
        <w:rPr>
          <w:rFonts w:ascii="Arial" w:eastAsia="Arial" w:hAnsi="Arial" w:cs="Arial"/>
          <w:sz w:val="20"/>
          <w:szCs w:val="20"/>
        </w:rPr>
      </w:pPr>
    </w:p>
    <w:p w14:paraId="4706681C" w14:textId="77777777" w:rsidR="00BE6367" w:rsidRDefault="00C90F6A">
      <w:pPr>
        <w:spacing w:after="0"/>
        <w:jc w:val="both"/>
        <w:rPr>
          <w:rFonts w:ascii="Arial" w:eastAsia="Arial" w:hAnsi="Arial" w:cs="Arial"/>
          <w:sz w:val="20"/>
          <w:szCs w:val="20"/>
        </w:rPr>
      </w:pPr>
      <w:r>
        <w:rPr>
          <w:rFonts w:ascii="Arial" w:eastAsia="Arial" w:hAnsi="Arial" w:cs="Arial"/>
          <w:b/>
          <w:bCs/>
          <w:sz w:val="20"/>
          <w:szCs w:val="20"/>
        </w:rPr>
        <w:t>RESPUESTA A OBSERVACIÓN:</w:t>
      </w:r>
    </w:p>
    <w:p w14:paraId="5BD4E565" w14:textId="77777777" w:rsidR="00BE6367" w:rsidRDefault="00BE6367">
      <w:pPr>
        <w:jc w:val="both"/>
        <w:rPr>
          <w:rFonts w:ascii="Arial" w:eastAsia="Arial" w:hAnsi="Arial" w:cs="Arial"/>
          <w:sz w:val="20"/>
          <w:szCs w:val="20"/>
        </w:rPr>
      </w:pPr>
    </w:p>
    <w:p w14:paraId="11712AC3" w14:textId="77777777" w:rsidR="00BE6367" w:rsidRDefault="00C90F6A">
      <w:pPr>
        <w:jc w:val="both"/>
        <w:rPr>
          <w:rFonts w:ascii="Arial" w:eastAsia="Arial" w:hAnsi="Arial" w:cs="Arial"/>
          <w:sz w:val="20"/>
          <w:szCs w:val="20"/>
        </w:rPr>
      </w:pPr>
      <w:r>
        <w:rPr>
          <w:rFonts w:ascii="Arial" w:eastAsia="Arial" w:hAnsi="Arial" w:cs="Arial"/>
          <w:sz w:val="20"/>
          <w:szCs w:val="20"/>
        </w:rPr>
        <w:t>Se acepta la observación. En aplicación de los principios de libre concurrencia y selección objetiva (art. 5 Ley 1150 de 2007), la Entidad admitirá la acreditación de la funcionalidad de encuadre automático mediante inteligencia artificial bajo cualquiera de las siguientes denominaciones comerciales, siempre que el proponente demuestre que cumplen la misma finalidad funcional exigida para “Smart Framing”: Auto Framing, AI Framing, Intelligent Framing, Speaker Tracking, Presenter Tracking, o tecnologías equivalentes que el proponente acredite mediante ficha técnica del fabricante.</w:t>
      </w:r>
    </w:p>
    <w:p w14:paraId="3D8230DD" w14:textId="77777777" w:rsidR="00BE6367" w:rsidRDefault="00C90F6A">
      <w:pPr>
        <w:jc w:val="both"/>
        <w:rPr>
          <w:rFonts w:ascii="Arial" w:eastAsia="Arial" w:hAnsi="Arial" w:cs="Arial"/>
          <w:sz w:val="20"/>
          <w:szCs w:val="20"/>
        </w:rPr>
      </w:pPr>
      <w:r>
        <w:rPr>
          <w:rFonts w:ascii="Arial" w:eastAsia="Arial" w:hAnsi="Arial" w:cs="Arial"/>
          <w:sz w:val="20"/>
          <w:szCs w:val="20"/>
        </w:rPr>
        <w:t>La acreditación de la equivalencia funcional deberá efectuarse mediante la documentación técnica oficial del fabricante, en la que conste que la tecnología ofertada realiza el seguimiento y encuadre automático de la persona u objeto en escena, sin intervención manual del operador.</w:t>
      </w:r>
    </w:p>
    <w:p w14:paraId="469966B3" w14:textId="77777777" w:rsidR="00BE6367" w:rsidRDefault="00C90F6A">
      <w:pPr>
        <w:jc w:val="both"/>
        <w:rPr>
          <w:rFonts w:ascii="Arial" w:eastAsia="Arial" w:hAnsi="Arial" w:cs="Arial"/>
          <w:b/>
          <w:bCs/>
          <w:sz w:val="20"/>
          <w:szCs w:val="20"/>
        </w:rPr>
      </w:pPr>
      <w:r>
        <w:rPr>
          <w:rFonts w:ascii="Arial" w:eastAsia="Arial" w:hAnsi="Arial" w:cs="Arial"/>
          <w:sz w:val="20"/>
          <w:szCs w:val="20"/>
        </w:rPr>
        <w:t>En consecuencia, la ficha técnica será ajustada para reflejar que el requisito se entenderá satisfecho con cualquiera de las tecnologías anteriormente enunciadas o sus equivalentes funcionales debidamente acreditados.</w:t>
      </w:r>
    </w:p>
    <w:p w14:paraId="0605C7C2" w14:textId="77777777" w:rsidR="00BE6367" w:rsidRDefault="00BE6367">
      <w:pPr>
        <w:jc w:val="both"/>
        <w:rPr>
          <w:rFonts w:ascii="Arial" w:eastAsia="Arial" w:hAnsi="Arial" w:cs="Arial"/>
          <w:sz w:val="20"/>
          <w:szCs w:val="20"/>
        </w:rPr>
      </w:pPr>
    </w:p>
    <w:p w14:paraId="26CD1214" w14:textId="77777777" w:rsidR="00BE6367" w:rsidRDefault="00000000">
      <w:pPr>
        <w:jc w:val="both"/>
        <w:rPr>
          <w:rFonts w:ascii="Arial" w:eastAsia="Arial" w:hAnsi="Arial" w:cs="Arial"/>
          <w:sz w:val="20"/>
          <w:szCs w:val="20"/>
        </w:rPr>
      </w:pPr>
      <w:r>
        <w:pict w14:anchorId="149A4514">
          <v:rect id="_x0000_i1082" style="width:0;height:1.5pt" o:hralign="center" o:hrstd="t" o:hr="t" fillcolor="#a0a0a0" stroked="f"/>
        </w:pict>
      </w:r>
    </w:p>
    <w:p w14:paraId="243B5060"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No. 8 – Carta del fabricante certificando respaldo al contrato</w:t>
      </w:r>
    </w:p>
    <w:p w14:paraId="128734D1" w14:textId="77777777" w:rsidR="00BE6367" w:rsidRDefault="00C90F6A">
      <w:pPr>
        <w:jc w:val="both"/>
        <w:rPr>
          <w:rFonts w:ascii="Arial" w:eastAsia="Arial" w:hAnsi="Arial" w:cs="Arial"/>
          <w:sz w:val="20"/>
          <w:szCs w:val="20"/>
        </w:rPr>
      </w:pPr>
      <w:r>
        <w:rPr>
          <w:rFonts w:ascii="Arial" w:eastAsia="Arial" w:hAnsi="Arial" w:cs="Arial"/>
          <w:b/>
          <w:bCs/>
          <w:sz w:val="20"/>
          <w:szCs w:val="20"/>
        </w:rPr>
        <w:t>Requisito observado</w:t>
      </w:r>
    </w:p>
    <w:p w14:paraId="6801E368"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El fabricante deberá certificar que respalda al oferente para la ejecución del contrato. </w:t>
      </w:r>
    </w:p>
    <w:p w14:paraId="2B7DF070"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w:t>
      </w:r>
    </w:p>
    <w:p w14:paraId="197DC27F"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Esta exigencia puede limitar la participación de distribuidores autorizados que cuentan con capacidad técnica, comercial y de soporte, pero cuya política comercial no contempla la expedición de cartas de respaldo específicas para cada proceso.</w:t>
      </w:r>
    </w:p>
    <w:p w14:paraId="089B3265" w14:textId="77777777" w:rsidR="00BE6367" w:rsidRDefault="00C90F6A">
      <w:pPr>
        <w:jc w:val="both"/>
        <w:rPr>
          <w:rFonts w:ascii="Arial" w:eastAsia="Arial" w:hAnsi="Arial" w:cs="Arial"/>
          <w:sz w:val="20"/>
          <w:szCs w:val="20"/>
        </w:rPr>
      </w:pPr>
      <w:r>
        <w:rPr>
          <w:rFonts w:ascii="Arial" w:eastAsia="Arial" w:hAnsi="Arial" w:cs="Arial"/>
          <w:sz w:val="20"/>
          <w:szCs w:val="20"/>
        </w:rPr>
        <w:t>La capacidad del oferente debe acreditarse mediante su condición de distribuidor autorizado y el cumplimiento de las condiciones de garantía, sin supeditar su participación a documentos cuya expedición depende exclusivamente de la voluntad del fabricante.</w:t>
      </w:r>
    </w:p>
    <w:p w14:paraId="44E8FF45"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Solicitud</w:t>
      </w:r>
    </w:p>
    <w:p w14:paraId="3995C4D8" w14:textId="77777777" w:rsidR="00BE6367" w:rsidRDefault="00C90F6A">
      <w:pPr>
        <w:jc w:val="both"/>
        <w:rPr>
          <w:rFonts w:ascii="Arial" w:eastAsia="Arial" w:hAnsi="Arial" w:cs="Arial"/>
          <w:sz w:val="20"/>
          <w:szCs w:val="20"/>
        </w:rPr>
      </w:pPr>
      <w:r>
        <w:rPr>
          <w:rFonts w:ascii="Arial" w:eastAsia="Arial" w:hAnsi="Arial" w:cs="Arial"/>
          <w:sz w:val="20"/>
          <w:szCs w:val="20"/>
        </w:rPr>
        <w:t>Solicitamos aceptar como requisito suficiente la certificación de distribuidor o canal autorizado vigente, junto con el compromiso del oferente de asumir las obligaciones derivadas del contrato.</w:t>
      </w:r>
    </w:p>
    <w:p w14:paraId="41AD76F3" w14:textId="77777777" w:rsidR="00BE6367" w:rsidRDefault="00BE6367">
      <w:pPr>
        <w:jc w:val="both"/>
        <w:rPr>
          <w:rFonts w:ascii="Arial" w:eastAsia="Arial" w:hAnsi="Arial" w:cs="Arial"/>
          <w:sz w:val="20"/>
          <w:szCs w:val="20"/>
        </w:rPr>
      </w:pPr>
    </w:p>
    <w:p w14:paraId="36B91202"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RESPUESTA A OBSERVACIÓN:</w:t>
      </w:r>
    </w:p>
    <w:p w14:paraId="74F4A65F"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se acepta la observación. La Entidad precisa que el requisito exigido en el FTN no corresponde a una carta de "respaldo" genérica o discrecional del fabricante para la ejecución del contrato, como parece entenderlo el observante, sino a una certificación objetiva y verificable que acredite: (i) la condición de partner o distribuidor del fabricante respecto de los equipos de los ítems 1, 2, 9, 10 y 11; (ii) que la instalación del sistema operativo de los ítems 1 y 2 se realiza desde fábrica; (iii) la autorización para la comercialización, instalación, configuración y soporte técnico de los ítems 37 y 38; (iv) la autorización para la venta, instalación, configuración, integración y soporte técnico de los ítems 39 a 42; y (v) la existencia de personal técnico certificado por el fabricante para estos últimos ítems.</w:t>
      </w:r>
    </w:p>
    <w:p w14:paraId="689F8DEF"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Entidad considera necesario mantener esta certificación, incluyendo la relativa a la autorización para prestar los servicios de instalación, configuración, integración y soporte técnico, y no limitarla a la sola condición de distribuidor autorizado del producto, por cuanto la autorización comercial para la venta de un equipo no acredita, por sí sola, que el distribuidor cuente con la capacitación, autorización técnica y respaldo del fabricante para la correcta instalación, configuración e integración de dichos equipos, aspectos que resultan determinantes para el adecuado funcionamiento de las soluciones objeto del presente proceso.</w:t>
      </w:r>
    </w:p>
    <w:p w14:paraId="4C14FAB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reitera que la certificación exigida puede ser suscrita no solo por el representante legal del fabricante, sino por cualquier persona autorizada por este para tal efecto, lo cual otorga flexibilidad razonable para su obtención por parte de los distintos distribuidores y canales autorizados interesados en el mercado.</w:t>
      </w:r>
    </w:p>
    <w:p w14:paraId="5BE41A99"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se mantiene el requerimiento en los términos definidos en el FTN, sin las modificaciones propuestas por el observante</w:t>
      </w:r>
    </w:p>
    <w:p w14:paraId="58DD35AC" w14:textId="77777777" w:rsidR="00BE6367" w:rsidRDefault="00BE6367">
      <w:pPr>
        <w:jc w:val="both"/>
        <w:rPr>
          <w:rFonts w:ascii="Arial" w:eastAsia="Arial" w:hAnsi="Arial" w:cs="Arial"/>
          <w:b/>
          <w:bCs/>
          <w:sz w:val="20"/>
          <w:szCs w:val="20"/>
        </w:rPr>
      </w:pPr>
    </w:p>
    <w:p w14:paraId="3960FC60" w14:textId="77777777" w:rsidR="00BE6367" w:rsidRDefault="00000000">
      <w:pPr>
        <w:jc w:val="both"/>
        <w:rPr>
          <w:rFonts w:ascii="Arial" w:eastAsia="Arial" w:hAnsi="Arial" w:cs="Arial"/>
          <w:sz w:val="20"/>
          <w:szCs w:val="20"/>
        </w:rPr>
      </w:pPr>
      <w:r>
        <w:pict w14:anchorId="7D58C4CA">
          <v:rect id="_x0000_i1083" style="width:0;height:1.5pt" o:hralign="center" o:hrstd="t" o:hr="t" fillcolor="#a0a0a0" stroked="f"/>
        </w:pict>
      </w:r>
    </w:p>
    <w:p w14:paraId="58BEB023"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No. 9 – Personal certificado por el fabricante</w:t>
      </w:r>
    </w:p>
    <w:p w14:paraId="26781093" w14:textId="77777777" w:rsidR="00BE6367" w:rsidRDefault="00C90F6A">
      <w:pPr>
        <w:jc w:val="both"/>
        <w:rPr>
          <w:rFonts w:ascii="Arial" w:eastAsia="Arial" w:hAnsi="Arial" w:cs="Arial"/>
          <w:sz w:val="20"/>
          <w:szCs w:val="20"/>
        </w:rPr>
      </w:pPr>
      <w:r>
        <w:rPr>
          <w:rFonts w:ascii="Arial" w:eastAsia="Arial" w:hAnsi="Arial" w:cs="Arial"/>
          <w:b/>
          <w:bCs/>
          <w:sz w:val="20"/>
          <w:szCs w:val="20"/>
        </w:rPr>
        <w:t>Requisito observado</w:t>
      </w:r>
    </w:p>
    <w:p w14:paraId="6720936B"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Personal técnico capacitado y certificado por el fabricante. </w:t>
      </w:r>
    </w:p>
    <w:p w14:paraId="67C45CAA"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w:t>
      </w:r>
    </w:p>
    <w:p w14:paraId="7323DC11" w14:textId="77777777" w:rsidR="00BE6367" w:rsidRDefault="00C90F6A">
      <w:pPr>
        <w:jc w:val="both"/>
        <w:rPr>
          <w:rFonts w:ascii="Arial" w:eastAsia="Arial" w:hAnsi="Arial" w:cs="Arial"/>
          <w:sz w:val="20"/>
          <w:szCs w:val="20"/>
        </w:rPr>
      </w:pPr>
      <w:r>
        <w:rPr>
          <w:rFonts w:ascii="Arial" w:eastAsia="Arial" w:hAnsi="Arial" w:cs="Arial"/>
          <w:sz w:val="20"/>
          <w:szCs w:val="20"/>
        </w:rPr>
        <w:t>No todos los fabricantes cuentan con programas formales de certificación para pantallas interactivas. En muchos casos, la capacitación se acredita mediante entrenamientos técnicos, autorizaciones comerciales o programas de formación internos.</w:t>
      </w:r>
    </w:p>
    <w:p w14:paraId="41BE711C"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Exigir exclusivamente una certificación emitida por el fabricante podría excluir oferentes con personal idóneo y experiencia demostrable.</w:t>
      </w:r>
    </w:p>
    <w:p w14:paraId="42061F9B"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Solicitud</w:t>
      </w:r>
    </w:p>
    <w:p w14:paraId="7FF74E61" w14:textId="77777777" w:rsidR="00BE6367" w:rsidRDefault="00C90F6A">
      <w:pPr>
        <w:jc w:val="both"/>
        <w:rPr>
          <w:rFonts w:ascii="Arial" w:eastAsia="Arial" w:hAnsi="Arial" w:cs="Arial"/>
          <w:sz w:val="20"/>
          <w:szCs w:val="20"/>
        </w:rPr>
      </w:pPr>
      <w:r>
        <w:rPr>
          <w:rFonts w:ascii="Arial" w:eastAsia="Arial" w:hAnsi="Arial" w:cs="Arial"/>
          <w:sz w:val="20"/>
          <w:szCs w:val="20"/>
        </w:rPr>
        <w:t>Permitir acreditar la competencia técnica mediante certificaciones del fabricante o documentos equivalentes que evidencien capacitación y autorización para prestar soporte sobre la solución ofertada.</w:t>
      </w:r>
    </w:p>
    <w:p w14:paraId="4D86CD9B" w14:textId="77777777" w:rsidR="00BE6367" w:rsidRDefault="00BE6367">
      <w:pPr>
        <w:jc w:val="both"/>
        <w:rPr>
          <w:rFonts w:ascii="Arial" w:eastAsia="Arial" w:hAnsi="Arial" w:cs="Arial"/>
          <w:sz w:val="20"/>
          <w:szCs w:val="20"/>
        </w:rPr>
      </w:pPr>
    </w:p>
    <w:p w14:paraId="478AA294" w14:textId="77777777" w:rsidR="00BE6367" w:rsidRDefault="00BE6367">
      <w:pPr>
        <w:jc w:val="both"/>
        <w:rPr>
          <w:rFonts w:ascii="Arial" w:eastAsia="Arial" w:hAnsi="Arial" w:cs="Arial"/>
          <w:sz w:val="20"/>
          <w:szCs w:val="20"/>
        </w:rPr>
      </w:pPr>
    </w:p>
    <w:p w14:paraId="2C8BD77E"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RESPUESTA A OBSERVACIÓN:</w:t>
      </w:r>
    </w:p>
    <w:p w14:paraId="0BD6BA71"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 xml:space="preserve">No se acepta la observación, por cuanto parte de un entendimiento que no corresponde al alcance real del requisito. El FTN no exige "personal técnico capacitado y certificado por el fabricante" para las pantallas interactivas; dicha exigencia de personal técnico certificado se encuentra prevista, exclusivamente, para los ítems 39 a 42 (unidad central de conferencia, micrófono de 50 cm, unidad de presidente y unidad de delegado), correspondientes a los equipos de conferencia y automatización de salas de audiencia, por tratarse de una solución especializada cuya correcta instalación, configuración, integración y mantenimiento requiere de personal con capacitación específica certificada por el fabricante, a fin de garantizar el adecuado funcionamiento de la solución y mitigar los riesgos técnicos y operativos propios de su complejidad. </w:t>
      </w:r>
    </w:p>
    <w:p w14:paraId="47BB475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Para los demás equipos de cómputo relacionados en la certificación de fabricante (ítems 1, 2, 9, 10 y 11), lo que se exige es que el comitente vendedor acredite su condición de partner o distribuidor autorizado del fabricante de dichos equipos, y no una certificación de personal técnico capacitado.</w:t>
      </w:r>
    </w:p>
    <w:p w14:paraId="76AC7040"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no resulta procedente modificar el requisito en los términos planteados por el observante, al no existir, para las pantallas interactivas, la exigencia que este cuestiona. Se mantiene el FTN en los términos ya definidos.</w:t>
      </w:r>
    </w:p>
    <w:p w14:paraId="505B486D"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No. 10 – Almacenamiento interno mínimo de 64 GB</w:t>
      </w:r>
    </w:p>
    <w:p w14:paraId="58F65D21" w14:textId="77777777" w:rsidR="00BE6367" w:rsidRDefault="00C90F6A">
      <w:pPr>
        <w:jc w:val="both"/>
        <w:rPr>
          <w:rFonts w:ascii="Arial" w:eastAsia="Arial" w:hAnsi="Arial" w:cs="Arial"/>
          <w:sz w:val="20"/>
          <w:szCs w:val="20"/>
        </w:rPr>
      </w:pPr>
      <w:r>
        <w:rPr>
          <w:rFonts w:ascii="Arial" w:eastAsia="Arial" w:hAnsi="Arial" w:cs="Arial"/>
          <w:b/>
          <w:bCs/>
          <w:sz w:val="20"/>
          <w:szCs w:val="20"/>
        </w:rPr>
        <w:t>Requisito observado</w:t>
      </w:r>
    </w:p>
    <w:p w14:paraId="7E5FAB87"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Almacenamiento interno mínimo de 64 GB. </w:t>
      </w:r>
    </w:p>
    <w:p w14:paraId="37445381"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w:t>
      </w:r>
    </w:p>
    <w:p w14:paraId="53444046"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El almacenamiento interno no constituye un factor determinante para el desempeño de una pantalla interactiva destinada a funciones de presentación, colaboración y videoconferencia. En el mercado existen fabricantes como </w:t>
      </w:r>
      <w:r>
        <w:rPr>
          <w:rFonts w:ascii="Arial" w:eastAsia="Arial" w:hAnsi="Arial" w:cs="Arial"/>
          <w:b/>
          <w:bCs/>
          <w:sz w:val="20"/>
          <w:szCs w:val="20"/>
        </w:rPr>
        <w:t>SMART Technologies, Promethean, BenQ y Newline</w:t>
      </w:r>
      <w:r>
        <w:rPr>
          <w:rFonts w:ascii="Arial" w:eastAsia="Arial" w:hAnsi="Arial" w:cs="Arial"/>
          <w:sz w:val="20"/>
          <w:szCs w:val="20"/>
        </w:rPr>
        <w:t>, que ofrecen equipos con capacidades de 32 GB o superiores, suficientes para el sistema operativo y las aplicaciones integradas.</w:t>
      </w:r>
    </w:p>
    <w:p w14:paraId="7C62910C" w14:textId="77777777" w:rsidR="00BE6367" w:rsidRDefault="00C90F6A">
      <w:pPr>
        <w:jc w:val="both"/>
        <w:rPr>
          <w:rFonts w:ascii="Arial" w:eastAsia="Arial" w:hAnsi="Arial" w:cs="Arial"/>
          <w:sz w:val="20"/>
          <w:szCs w:val="20"/>
        </w:rPr>
      </w:pPr>
      <w:r>
        <w:rPr>
          <w:rFonts w:ascii="Arial" w:eastAsia="Arial" w:hAnsi="Arial" w:cs="Arial"/>
          <w:sz w:val="20"/>
          <w:szCs w:val="20"/>
        </w:rPr>
        <w:t>La exigencia de 64 GB restringe la participación de soluciones ampliamente implementadas en entidades públicas y privadas, sin evidenciar un beneficio funcional proporcional.</w:t>
      </w:r>
    </w:p>
    <w:p w14:paraId="6C636E78"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Solicitud</w:t>
      </w:r>
    </w:p>
    <w:p w14:paraId="3D91EE33"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Permitir almacenamiento interno de </w:t>
      </w:r>
      <w:r>
        <w:rPr>
          <w:rFonts w:ascii="Arial" w:eastAsia="Arial" w:hAnsi="Arial" w:cs="Arial"/>
          <w:b/>
          <w:bCs/>
          <w:sz w:val="20"/>
          <w:szCs w:val="20"/>
        </w:rPr>
        <w:t>32 GB o superior</w:t>
      </w:r>
      <w:r>
        <w:rPr>
          <w:rFonts w:ascii="Arial" w:eastAsia="Arial" w:hAnsi="Arial" w:cs="Arial"/>
          <w:sz w:val="20"/>
          <w:szCs w:val="20"/>
        </w:rPr>
        <w:t>, siempre que garantice el correcto funcionamiento del sistema operativo y las aplicaciones incorporadas.</w:t>
      </w:r>
    </w:p>
    <w:p w14:paraId="226BF711"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RESPUESTA A OBSERVACIÓN:</w:t>
      </w:r>
    </w:p>
    <w:p w14:paraId="22F2072B"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lastRenderedPageBreak/>
        <w:t>No se acepta la observación. La Entidad mantiene el requisito de almacenamiento interno mínimo de 64 GB para la Pantalla Interactiva, por cuanto dicha capacidad resulta necesaria para garantizar el respaldo adecuado de las anotaciones, grabaciones de sesión y demás contenidos generados por los usuarios en el desarrollo de sus actividades de presentación y colaboración, sin que sea necesario recurrir de manera inmediata y constante a mecanismos de depuración o respaldo externo que puedan afectar la continuidad operativa del equipo.</w:t>
      </w:r>
    </w:p>
    <w:p w14:paraId="3A09B4B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Verificado el estudio de mercado que sustenta el presente proceso, la Entidad constató la existencia de una pluralidad de fabricantes en capacidad de ofertar equipos con almacenamiento interno de 64 GB o superior, por lo cual no se configura una restricción indebida a la libre concurrencia.</w:t>
      </w:r>
    </w:p>
    <w:p w14:paraId="2167B8B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se mantiene el requisito de almacenamiento interno mínimo de 64 GB en los términos definidos en la ficha técnica (FTP).</w:t>
      </w:r>
    </w:p>
    <w:p w14:paraId="2326EABA" w14:textId="77777777" w:rsidR="00BE6367" w:rsidRDefault="00BE6367">
      <w:pPr>
        <w:jc w:val="both"/>
        <w:rPr>
          <w:rFonts w:ascii="Arial" w:eastAsia="Arial" w:hAnsi="Arial" w:cs="Arial"/>
          <w:sz w:val="20"/>
          <w:szCs w:val="20"/>
        </w:rPr>
      </w:pPr>
    </w:p>
    <w:p w14:paraId="2707A0A9" w14:textId="77777777" w:rsidR="00BE6367" w:rsidRDefault="00000000">
      <w:pPr>
        <w:jc w:val="both"/>
        <w:rPr>
          <w:rFonts w:ascii="Arial" w:eastAsia="Arial" w:hAnsi="Arial" w:cs="Arial"/>
          <w:sz w:val="20"/>
          <w:szCs w:val="20"/>
        </w:rPr>
      </w:pPr>
      <w:r>
        <w:pict w14:anchorId="518276E3">
          <v:rect id="_x0000_i1084" style="width:0;height:1.5pt" o:hralign="center" o:hrstd="t" o:hr="t" fillcolor="#a0a0a0" stroked="f"/>
        </w:pict>
      </w:r>
    </w:p>
    <w:p w14:paraId="6AAB4AFC"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No. 11 – Conectividad física limitada a una configuración específica</w:t>
      </w:r>
    </w:p>
    <w:p w14:paraId="48688C59" w14:textId="77777777" w:rsidR="00BE6367" w:rsidRDefault="00C90F6A">
      <w:pPr>
        <w:jc w:val="both"/>
        <w:rPr>
          <w:rFonts w:ascii="Arial" w:eastAsia="Arial" w:hAnsi="Arial" w:cs="Arial"/>
          <w:sz w:val="20"/>
          <w:szCs w:val="20"/>
        </w:rPr>
      </w:pPr>
      <w:r>
        <w:rPr>
          <w:rFonts w:ascii="Arial" w:eastAsia="Arial" w:hAnsi="Arial" w:cs="Arial"/>
          <w:b/>
          <w:bCs/>
          <w:sz w:val="20"/>
          <w:szCs w:val="20"/>
        </w:rPr>
        <w:t>Requisito observado</w:t>
      </w:r>
    </w:p>
    <w:p w14:paraId="6DDD1443"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HDMI In ×1, USB-A 2.0 ×3, RJ-45 ×2, Audio Out, Touch USB y OPS Slot. </w:t>
      </w:r>
    </w:p>
    <w:p w14:paraId="555F37B0"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w:t>
      </w:r>
    </w:p>
    <w:p w14:paraId="40E843C3" w14:textId="77777777" w:rsidR="00BE6367" w:rsidRDefault="00C90F6A">
      <w:pPr>
        <w:jc w:val="both"/>
        <w:rPr>
          <w:rFonts w:ascii="Arial" w:eastAsia="Arial" w:hAnsi="Arial" w:cs="Arial"/>
          <w:sz w:val="20"/>
          <w:szCs w:val="20"/>
        </w:rPr>
      </w:pPr>
      <w:r>
        <w:rPr>
          <w:rFonts w:ascii="Arial" w:eastAsia="Arial" w:hAnsi="Arial" w:cs="Arial"/>
          <w:sz w:val="20"/>
          <w:szCs w:val="20"/>
        </w:rPr>
        <w:t>La configuración de puertos varía entre fabricantes sin afectar la funcionalidad de la solución. Algunos fabricantes incorporan puertos USB 3.0 o USB-C en reemplazo de USB 2.0, mientras otros integran un único puerto RJ-45 o diferentes distribuciones de conectividad.</w:t>
      </w:r>
    </w:p>
    <w:p w14:paraId="297C6E1A"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Exigir una combinación exacta de interfaces limita la participación de fabricantes como </w:t>
      </w:r>
      <w:r>
        <w:rPr>
          <w:rFonts w:ascii="Arial" w:eastAsia="Arial" w:hAnsi="Arial" w:cs="Arial"/>
          <w:b/>
          <w:bCs/>
          <w:sz w:val="20"/>
          <w:szCs w:val="20"/>
        </w:rPr>
        <w:t>Samsung, LG, ViewSonic y SMART</w:t>
      </w:r>
      <w:r>
        <w:rPr>
          <w:rFonts w:ascii="Arial" w:eastAsia="Arial" w:hAnsi="Arial" w:cs="Arial"/>
          <w:sz w:val="20"/>
          <w:szCs w:val="20"/>
        </w:rPr>
        <w:t>, cuyos diseños pueden ofrecer igual o mayor funcionalidad mediante configuraciones diferentes.</w:t>
      </w:r>
    </w:p>
    <w:p w14:paraId="2598A241"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Solicitud</w:t>
      </w:r>
    </w:p>
    <w:p w14:paraId="6B95640A" w14:textId="77777777" w:rsidR="00BE6367" w:rsidRDefault="00C90F6A">
      <w:pPr>
        <w:jc w:val="both"/>
        <w:rPr>
          <w:rFonts w:ascii="Arial" w:eastAsia="Arial" w:hAnsi="Arial" w:cs="Arial"/>
          <w:sz w:val="20"/>
          <w:szCs w:val="20"/>
        </w:rPr>
      </w:pPr>
      <w:r>
        <w:rPr>
          <w:rFonts w:ascii="Arial" w:eastAsia="Arial" w:hAnsi="Arial" w:cs="Arial"/>
          <w:sz w:val="20"/>
          <w:szCs w:val="20"/>
        </w:rPr>
        <w:t>Solicitamos establecer cantidades mínimas de interfaces de video, datos y red, permitiendo configuraciones equivalentes o superiores.</w:t>
      </w:r>
    </w:p>
    <w:p w14:paraId="5D2BB7F6"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RESPUESTA A OBSERVACIÓN::</w:t>
      </w:r>
    </w:p>
    <w:p w14:paraId="713D3A98"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Se acepta parcialmente la observación. Respecto de los puertos USB-A y RJ-45, la Entidad remite a lo ya precisado en las respuestas a las observaciones anteriores realizadas por diversos proponentes de este mismo proceso </w:t>
      </w:r>
    </w:p>
    <w:p w14:paraId="54FDDE71" w14:textId="77777777" w:rsidR="00BE6367" w:rsidRDefault="00000000">
      <w:pPr>
        <w:jc w:val="both"/>
        <w:rPr>
          <w:rFonts w:ascii="Arial" w:eastAsia="Arial" w:hAnsi="Arial" w:cs="Arial"/>
          <w:sz w:val="20"/>
          <w:szCs w:val="20"/>
        </w:rPr>
      </w:pPr>
      <w:r>
        <w:pict w14:anchorId="1517C5E6">
          <v:rect id="_x0000_i1085" style="width:0;height:1.5pt" o:hralign="center" o:hrstd="t" o:hr="t" fillcolor="#a0a0a0" stroked="f"/>
        </w:pict>
      </w:r>
    </w:p>
    <w:p w14:paraId="2A4B6D65"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No. 12 – Doble puerto RJ-45 obligatorio</w:t>
      </w:r>
    </w:p>
    <w:p w14:paraId="2AB07517" w14:textId="77777777" w:rsidR="00BE6367" w:rsidRDefault="00C90F6A">
      <w:pPr>
        <w:jc w:val="both"/>
        <w:rPr>
          <w:rFonts w:ascii="Arial" w:eastAsia="Arial" w:hAnsi="Arial" w:cs="Arial"/>
          <w:sz w:val="20"/>
          <w:szCs w:val="20"/>
        </w:rPr>
      </w:pPr>
      <w:r>
        <w:rPr>
          <w:rFonts w:ascii="Arial" w:eastAsia="Arial" w:hAnsi="Arial" w:cs="Arial"/>
          <w:b/>
          <w:bCs/>
          <w:sz w:val="20"/>
          <w:szCs w:val="20"/>
        </w:rPr>
        <w:t>Requisito observado</w:t>
      </w:r>
    </w:p>
    <w:p w14:paraId="4E88AC13"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RJ-45 ×2. </w:t>
      </w:r>
    </w:p>
    <w:p w14:paraId="6C3E41FF"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w:t>
      </w:r>
    </w:p>
    <w:p w14:paraId="2B76BF76" w14:textId="77777777" w:rsidR="00BE6367" w:rsidRDefault="00C90F6A">
      <w:pPr>
        <w:jc w:val="both"/>
        <w:rPr>
          <w:rFonts w:ascii="Arial" w:eastAsia="Arial" w:hAnsi="Arial" w:cs="Arial"/>
          <w:sz w:val="20"/>
          <w:szCs w:val="20"/>
        </w:rPr>
      </w:pPr>
      <w:r>
        <w:rPr>
          <w:rFonts w:ascii="Arial" w:eastAsia="Arial" w:hAnsi="Arial" w:cs="Arial"/>
          <w:sz w:val="20"/>
          <w:szCs w:val="20"/>
        </w:rPr>
        <w:t>La mayoría de pantallas interactivas del segmento corporativo incorporan un único puerto Ethernet Gigabit, suficiente para las funciones de administración y conectividad de red. La necesidad de dos puertos físicos no se encuentra técnicamente justificada dentro del objeto del proceso.</w:t>
      </w:r>
    </w:p>
    <w:p w14:paraId="059BD408"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 xml:space="preserve">Este requisito reduce la participación de fabricantes reconocidos como </w:t>
      </w:r>
      <w:r>
        <w:rPr>
          <w:rFonts w:ascii="Arial" w:eastAsia="Arial" w:hAnsi="Arial" w:cs="Arial"/>
          <w:b/>
          <w:bCs/>
          <w:sz w:val="20"/>
          <w:szCs w:val="20"/>
        </w:rPr>
        <w:t>SMART Technologies, BenQ, Promethean y ViewSonic</w:t>
      </w:r>
      <w:r>
        <w:rPr>
          <w:rFonts w:ascii="Arial" w:eastAsia="Arial" w:hAnsi="Arial" w:cs="Arial"/>
          <w:sz w:val="20"/>
          <w:szCs w:val="20"/>
        </w:rPr>
        <w:t>, cuyos equipos cumplen plenamente las necesidades operativas con un solo puerto LAN.</w:t>
      </w:r>
    </w:p>
    <w:p w14:paraId="4621F94B"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Solicitud</w:t>
      </w:r>
    </w:p>
    <w:p w14:paraId="2065898A" w14:textId="77777777" w:rsidR="00BE6367" w:rsidRDefault="00C90F6A">
      <w:pPr>
        <w:jc w:val="both"/>
        <w:rPr>
          <w:rFonts w:ascii="Arial" w:eastAsia="Arial" w:hAnsi="Arial" w:cs="Arial"/>
          <w:sz w:val="20"/>
          <w:szCs w:val="20"/>
        </w:rPr>
      </w:pPr>
      <w:r>
        <w:rPr>
          <w:rFonts w:ascii="Arial" w:eastAsia="Arial" w:hAnsi="Arial" w:cs="Arial"/>
          <w:sz w:val="20"/>
          <w:szCs w:val="20"/>
        </w:rPr>
        <w:t>Permitir un puerto Ethernet Gigabit o una solución equivalente que garantice la conectividad requerida.</w:t>
      </w:r>
    </w:p>
    <w:p w14:paraId="725A3E0F" w14:textId="77777777" w:rsidR="00BE6367" w:rsidRDefault="00BE6367">
      <w:pPr>
        <w:jc w:val="both"/>
        <w:rPr>
          <w:rFonts w:ascii="Arial" w:eastAsia="Arial" w:hAnsi="Arial" w:cs="Arial"/>
          <w:sz w:val="20"/>
          <w:szCs w:val="20"/>
        </w:rPr>
      </w:pPr>
    </w:p>
    <w:p w14:paraId="0B0BB7DE"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RESPUESTA A OBSERVACIÓN::</w:t>
      </w:r>
    </w:p>
    <w:p w14:paraId="5B998136"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acepta la observación. Verificado que el estándar del segmento corporativo de pantallas interactivas incorpora, de manera predominante, un único puerto Ethernet Gigabit para las funciones de administración y conectividad de red, y que dicha configuración resulta suficiente para las necesidades operativas del presente proceso, la Entidad ajustará la ficha técnica para exigir un mínimo de un (1) puerto RJ-45 Gigabit Ethernet, en lugar de dos (2) puertos, admitiéndose equipos con uno o más puertos de dicha naturaleza.</w:t>
      </w:r>
    </w:p>
    <w:p w14:paraId="2AFECBFC"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Esta modificación no disminuye el estándar funcional exigido por la Entidad, en la medida en que la conectividad de red del equipo se garantiza igualmente mediante el puerto Ethernet exigido, en concordancia con la conectividad Wi-Fi de doble banda ya prevista en la ficha técnica como alternativa complementaria, en aplicación de los principios de libre concurrencia y selección objetiva (art. 5 Ley 1150 de 2007).</w:t>
      </w:r>
    </w:p>
    <w:p w14:paraId="0BE45472"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ficha técnica de producto será ajustada en los términos aquí señalados.</w:t>
      </w:r>
    </w:p>
    <w:p w14:paraId="51886158" w14:textId="77777777" w:rsidR="00BE6367" w:rsidRDefault="00BE6367">
      <w:pPr>
        <w:jc w:val="both"/>
        <w:rPr>
          <w:rFonts w:ascii="Arial" w:eastAsia="Arial" w:hAnsi="Arial" w:cs="Arial"/>
          <w:sz w:val="20"/>
          <w:szCs w:val="20"/>
        </w:rPr>
      </w:pPr>
    </w:p>
    <w:p w14:paraId="780B5531" w14:textId="77777777" w:rsidR="00BE6367" w:rsidRDefault="00000000">
      <w:pPr>
        <w:jc w:val="both"/>
        <w:rPr>
          <w:rFonts w:ascii="Arial" w:eastAsia="Arial" w:hAnsi="Arial" w:cs="Arial"/>
          <w:sz w:val="20"/>
          <w:szCs w:val="20"/>
        </w:rPr>
      </w:pPr>
      <w:r>
        <w:pict w14:anchorId="4C0FBD74">
          <v:rect id="_x0000_i1086" style="width:0;height:1.5pt" o:hralign="center" o:hrstd="t" o:hr="t" fillcolor="#a0a0a0" stroked="f"/>
        </w:pict>
      </w:r>
    </w:p>
    <w:p w14:paraId="65D02C0A"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No. 13 – Retroiluminación D-LED</w:t>
      </w:r>
    </w:p>
    <w:p w14:paraId="7E36638E" w14:textId="77777777" w:rsidR="00BE6367" w:rsidRDefault="00C90F6A">
      <w:pPr>
        <w:jc w:val="both"/>
        <w:rPr>
          <w:rFonts w:ascii="Arial" w:eastAsia="Arial" w:hAnsi="Arial" w:cs="Arial"/>
          <w:sz w:val="20"/>
          <w:szCs w:val="20"/>
        </w:rPr>
      </w:pPr>
      <w:r>
        <w:rPr>
          <w:rFonts w:ascii="Arial" w:eastAsia="Arial" w:hAnsi="Arial" w:cs="Arial"/>
          <w:b/>
          <w:bCs/>
          <w:sz w:val="20"/>
          <w:szCs w:val="20"/>
        </w:rPr>
        <w:t>Requisito observado</w:t>
      </w:r>
    </w:p>
    <w:p w14:paraId="07963C52"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Retroiluminación D-LED. </w:t>
      </w:r>
    </w:p>
    <w:p w14:paraId="2994C179"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w:t>
      </w:r>
    </w:p>
    <w:p w14:paraId="4ACF14D3" w14:textId="77777777" w:rsidR="00BE6367" w:rsidRDefault="00C90F6A">
      <w:pPr>
        <w:jc w:val="both"/>
        <w:rPr>
          <w:rFonts w:ascii="Arial" w:eastAsia="Arial" w:hAnsi="Arial" w:cs="Arial"/>
          <w:sz w:val="20"/>
          <w:szCs w:val="20"/>
        </w:rPr>
      </w:pPr>
      <w:r>
        <w:rPr>
          <w:rFonts w:ascii="Arial" w:eastAsia="Arial" w:hAnsi="Arial" w:cs="Arial"/>
          <w:sz w:val="20"/>
          <w:szCs w:val="20"/>
        </w:rPr>
        <w:t>La tecnología de retroiluminación corresponde a una característica de diseño del fabricante y no necesariamente determina la calidad final de imagen. Existen soluciones basadas en distintas arquitecturas de retroiluminación que ofrecen niveles equivalentes o superiores de brillo, uniformidad y reproducción de color.</w:t>
      </w:r>
    </w:p>
    <w:p w14:paraId="055EC2A4" w14:textId="77777777" w:rsidR="00BE6367" w:rsidRDefault="00C90F6A">
      <w:pPr>
        <w:jc w:val="both"/>
        <w:rPr>
          <w:rFonts w:ascii="Arial" w:eastAsia="Arial" w:hAnsi="Arial" w:cs="Arial"/>
          <w:sz w:val="20"/>
          <w:szCs w:val="20"/>
        </w:rPr>
      </w:pPr>
      <w:r>
        <w:rPr>
          <w:rFonts w:ascii="Arial" w:eastAsia="Arial" w:hAnsi="Arial" w:cs="Arial"/>
          <w:sz w:val="20"/>
          <w:szCs w:val="20"/>
        </w:rPr>
        <w:t>Restringir la especificación a D-LED limita la participación de fabricantes que utilizan tecnologías equivalentes sin afectar el desempeño esperado.</w:t>
      </w:r>
    </w:p>
    <w:p w14:paraId="1F5DB4D8"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Solicitud</w:t>
      </w:r>
    </w:p>
    <w:p w14:paraId="68EF7CD6" w14:textId="77777777" w:rsidR="00BE6367" w:rsidRDefault="00C90F6A">
      <w:pPr>
        <w:jc w:val="both"/>
        <w:rPr>
          <w:rFonts w:ascii="Arial" w:eastAsia="Arial" w:hAnsi="Arial" w:cs="Arial"/>
          <w:sz w:val="20"/>
          <w:szCs w:val="20"/>
        </w:rPr>
      </w:pPr>
      <w:r>
        <w:rPr>
          <w:rFonts w:ascii="Arial" w:eastAsia="Arial" w:hAnsi="Arial" w:cs="Arial"/>
          <w:sz w:val="20"/>
          <w:szCs w:val="20"/>
        </w:rPr>
        <w:t>Solicitamos aceptar tecnologías de retroiluminación equivalentes que garanticen las condiciones mínimas de brillo, uniformidad y calidad de imagen.</w:t>
      </w:r>
    </w:p>
    <w:p w14:paraId="46950AB0"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RESPUESTA A OBSERVACIÓN:</w:t>
      </w:r>
    </w:p>
    <w:p w14:paraId="5EC7DFD2"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 xml:space="preserve">Se acepta la observación. La Entidad reconoce que la tecnología de retroiluminación constituye una decisión de diseño propia de cada fabricante, y que el desempeño visual del equipo (brillo, uniformidad y calidad de imagen) puede lograrse mediante distintas arquitecturas de retroiluminación, sin que ello dependa exclusivamente de la tecnología D-LED. En </w:t>
      </w:r>
      <w:r>
        <w:rPr>
          <w:rFonts w:ascii="Arial" w:eastAsia="Arial" w:hAnsi="Arial" w:cs="Arial"/>
          <w:sz w:val="20"/>
          <w:szCs w:val="20"/>
        </w:rPr>
        <w:lastRenderedPageBreak/>
        <w:t>consecuencia, se admitirá cualquier tecnología de retroiluminación (D-LED, Edge-LED, Mini-LED u otra equivalente), siempre que el proponente acredite, mediante ficha técnica del fabricante, el cumplimiento de los demás parámetros de calidad de imagen exigidos en la ficha técnica del presente proceso.</w:t>
      </w:r>
    </w:p>
    <w:p w14:paraId="34E26BFB"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ficha técnica será ajustada para exigir "tecnología de retroiluminación LED (D-LED, Edge-LED, Mini-LED o equivalente certificada por el fabricante), en lugar de la referencia exclusiva a la tecnología D-LED.</w:t>
      </w:r>
    </w:p>
    <w:p w14:paraId="6D555D37" w14:textId="77777777" w:rsidR="00BE6367" w:rsidRDefault="00BE6367">
      <w:pPr>
        <w:jc w:val="both"/>
        <w:rPr>
          <w:rFonts w:ascii="Arial" w:eastAsia="Arial" w:hAnsi="Arial" w:cs="Arial"/>
          <w:sz w:val="20"/>
          <w:szCs w:val="20"/>
        </w:rPr>
      </w:pPr>
    </w:p>
    <w:p w14:paraId="7EE5E96F" w14:textId="77777777" w:rsidR="00BE6367" w:rsidRDefault="00000000">
      <w:pPr>
        <w:jc w:val="both"/>
        <w:rPr>
          <w:rFonts w:ascii="Arial" w:eastAsia="Arial" w:hAnsi="Arial" w:cs="Arial"/>
          <w:sz w:val="20"/>
          <w:szCs w:val="20"/>
        </w:rPr>
      </w:pPr>
      <w:r>
        <w:pict w14:anchorId="12E3EE20">
          <v:rect id="_x0000_i1087" style="width:0;height:1.5pt" o:hralign="center" o:hrstd="t" o:hr="t" fillcolor="#a0a0a0" stroked="f"/>
        </w:pict>
      </w:r>
    </w:p>
    <w:p w14:paraId="55393B3D"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No. 14 – Brillo mínimo de 350 cd/m²</w:t>
      </w:r>
    </w:p>
    <w:p w14:paraId="0FA26D01" w14:textId="77777777" w:rsidR="00BE6367" w:rsidRDefault="00C90F6A">
      <w:pPr>
        <w:jc w:val="both"/>
        <w:rPr>
          <w:rFonts w:ascii="Arial" w:eastAsia="Arial" w:hAnsi="Arial" w:cs="Arial"/>
          <w:sz w:val="20"/>
          <w:szCs w:val="20"/>
        </w:rPr>
      </w:pPr>
      <w:r>
        <w:rPr>
          <w:rFonts w:ascii="Arial" w:eastAsia="Arial" w:hAnsi="Arial" w:cs="Arial"/>
          <w:b/>
          <w:bCs/>
          <w:sz w:val="20"/>
          <w:szCs w:val="20"/>
        </w:rPr>
        <w:t>Requisito observado</w:t>
      </w:r>
    </w:p>
    <w:p w14:paraId="653C6AAB"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Brillo mínimo de 350 cd/m². </w:t>
      </w:r>
    </w:p>
    <w:p w14:paraId="59D521DF"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w:t>
      </w:r>
    </w:p>
    <w:p w14:paraId="60815C99"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Si bien el brillo es un parámetro importante, su desempeño depende también del tratamiento antirreflejo, la relación de contraste y las condiciones de iluminación del ambiente. Existen pantallas interactivas de fabricantes como </w:t>
      </w:r>
      <w:r>
        <w:rPr>
          <w:rFonts w:ascii="Arial" w:eastAsia="Arial" w:hAnsi="Arial" w:cs="Arial"/>
          <w:b/>
          <w:bCs/>
          <w:sz w:val="20"/>
          <w:szCs w:val="20"/>
        </w:rPr>
        <w:t>SMART</w:t>
      </w:r>
      <w:r>
        <w:rPr>
          <w:rFonts w:ascii="Arial" w:eastAsia="Arial" w:hAnsi="Arial" w:cs="Arial"/>
          <w:sz w:val="20"/>
          <w:szCs w:val="20"/>
        </w:rPr>
        <w:t xml:space="preserve"> y </w:t>
      </w:r>
      <w:r>
        <w:rPr>
          <w:rFonts w:ascii="Arial" w:eastAsia="Arial" w:hAnsi="Arial" w:cs="Arial"/>
          <w:b/>
          <w:bCs/>
          <w:sz w:val="20"/>
          <w:szCs w:val="20"/>
        </w:rPr>
        <w:t>Promethean</w:t>
      </w:r>
      <w:r>
        <w:rPr>
          <w:rFonts w:ascii="Arial" w:eastAsia="Arial" w:hAnsi="Arial" w:cs="Arial"/>
          <w:sz w:val="20"/>
          <w:szCs w:val="20"/>
        </w:rPr>
        <w:t xml:space="preserve"> con niveles de brillo ligeramente inferiores que mantienen una excelente visibilidad gracias a tecnologías ópticas complementarias.</w:t>
      </w:r>
    </w:p>
    <w:p w14:paraId="5DCA4BB2" w14:textId="77777777" w:rsidR="00BE6367" w:rsidRDefault="00C90F6A">
      <w:pPr>
        <w:jc w:val="both"/>
        <w:rPr>
          <w:rFonts w:ascii="Arial" w:eastAsia="Arial" w:hAnsi="Arial" w:cs="Arial"/>
          <w:sz w:val="20"/>
          <w:szCs w:val="20"/>
        </w:rPr>
      </w:pPr>
      <w:r>
        <w:rPr>
          <w:rFonts w:ascii="Arial" w:eastAsia="Arial" w:hAnsi="Arial" w:cs="Arial"/>
          <w:sz w:val="20"/>
          <w:szCs w:val="20"/>
        </w:rPr>
        <w:t>Solicitamos que la Entidad valide el desempeño integral de visualización y no únicamente un valor específico de brillo.</w:t>
      </w:r>
    </w:p>
    <w:p w14:paraId="34C6DE01"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Solicitud</w:t>
      </w:r>
    </w:p>
    <w:p w14:paraId="4C3FAD3F" w14:textId="77777777" w:rsidR="00BE6367" w:rsidRDefault="00C90F6A">
      <w:pPr>
        <w:jc w:val="both"/>
        <w:rPr>
          <w:rFonts w:ascii="Arial" w:eastAsia="Arial" w:hAnsi="Arial" w:cs="Arial"/>
          <w:sz w:val="20"/>
          <w:szCs w:val="20"/>
        </w:rPr>
      </w:pPr>
      <w:r>
        <w:rPr>
          <w:rFonts w:ascii="Arial" w:eastAsia="Arial" w:hAnsi="Arial" w:cs="Arial"/>
          <w:sz w:val="20"/>
          <w:szCs w:val="20"/>
        </w:rPr>
        <w:t>Permitir soluciones con niveles de brillo equivalentes que aseguren adecuada visibilidad en ambientes corporativos.</w:t>
      </w:r>
    </w:p>
    <w:p w14:paraId="41E61E68"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RESPUESTA A OBSERVACIÓN:</w:t>
      </w:r>
    </w:p>
    <w:p w14:paraId="3429516D"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Se acepta la observación. Respecto al brillo, la Entidad remite a lo ya precisado en las respuestas a las observaciones anteriores realizadas por diversos proponentes de este mismo proceso </w:t>
      </w:r>
    </w:p>
    <w:p w14:paraId="30258DAD" w14:textId="77777777" w:rsidR="00BE6367" w:rsidRDefault="00000000">
      <w:pPr>
        <w:jc w:val="both"/>
        <w:rPr>
          <w:rFonts w:ascii="Arial" w:eastAsia="Arial" w:hAnsi="Arial" w:cs="Arial"/>
          <w:sz w:val="20"/>
          <w:szCs w:val="20"/>
        </w:rPr>
      </w:pPr>
      <w:r>
        <w:pict w14:anchorId="4D32F314">
          <v:rect id="_x0000_i1088" style="width:0;height:1.5pt" o:hralign="center" o:hrstd="t" o:hr="t" fillcolor="#a0a0a0" stroked="f"/>
        </w:pict>
      </w:r>
    </w:p>
    <w:p w14:paraId="2BB8FFD7"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No. 15 – Combinación de especificaciones que limita la pluralidad de oferentes</w:t>
      </w:r>
    </w:p>
    <w:p w14:paraId="733B9459" w14:textId="77777777" w:rsidR="00BE6367" w:rsidRDefault="00C90F6A">
      <w:pPr>
        <w:jc w:val="both"/>
        <w:rPr>
          <w:rFonts w:ascii="Arial" w:eastAsia="Arial" w:hAnsi="Arial" w:cs="Arial"/>
          <w:sz w:val="20"/>
          <w:szCs w:val="20"/>
        </w:rPr>
      </w:pPr>
      <w:r>
        <w:rPr>
          <w:rFonts w:ascii="Arial" w:eastAsia="Arial" w:hAnsi="Arial" w:cs="Arial"/>
          <w:b/>
          <w:bCs/>
          <w:sz w:val="20"/>
          <w:szCs w:val="20"/>
        </w:rPr>
        <w:t>Requisito observado</w:t>
      </w:r>
    </w:p>
    <w:p w14:paraId="4FB711D8"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Conjunto de requisitos técnicos de la pantalla interactiva. </w:t>
      </w:r>
    </w:p>
    <w:p w14:paraId="3D345A85"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w:t>
      </w:r>
    </w:p>
    <w:p w14:paraId="1C816BFF"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Si bien cada especificación podría analizarse individualmente, la combinación simultánea de requisitos como </w:t>
      </w:r>
      <w:r>
        <w:rPr>
          <w:rFonts w:ascii="Arial" w:eastAsia="Arial" w:hAnsi="Arial" w:cs="Arial"/>
          <w:b/>
          <w:bCs/>
          <w:sz w:val="20"/>
          <w:szCs w:val="20"/>
        </w:rPr>
        <w:t>Android 13, cámara de 50 MP, campo de visión de 98°, arreglo de 16 micrófonos, 8 GB de RAM, 64 GB de almacenamiento, doble puerto RJ-45, Wi-Fi 6 y la funcionalidad denominada "Smart Framing"</w:t>
      </w:r>
      <w:r>
        <w:rPr>
          <w:rFonts w:ascii="Arial" w:eastAsia="Arial" w:hAnsi="Arial" w:cs="Arial"/>
          <w:sz w:val="20"/>
          <w:szCs w:val="20"/>
        </w:rPr>
        <w:t xml:space="preserve"> restringe significativamente el universo de equipos que pueden cumplir integralmente la ficha técnica.</w:t>
      </w:r>
    </w:p>
    <w:p w14:paraId="2C18DAA6"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Al contrastar estas características con la oferta disponible en el mercado, se evidencia que fabricantes de amplia trayectoria como </w:t>
      </w:r>
      <w:r>
        <w:rPr>
          <w:rFonts w:ascii="Arial" w:eastAsia="Arial" w:hAnsi="Arial" w:cs="Arial"/>
          <w:b/>
          <w:bCs/>
          <w:sz w:val="20"/>
          <w:szCs w:val="20"/>
        </w:rPr>
        <w:t xml:space="preserve">SMART Technologies, Promethean, BenQ, </w:t>
      </w:r>
      <w:r>
        <w:rPr>
          <w:rFonts w:ascii="Arial" w:eastAsia="Arial" w:hAnsi="Arial" w:cs="Arial"/>
          <w:b/>
          <w:bCs/>
          <w:sz w:val="20"/>
          <w:szCs w:val="20"/>
        </w:rPr>
        <w:lastRenderedPageBreak/>
        <w:t>ViewSonic, Newline, Samsung y LG</w:t>
      </w:r>
      <w:r>
        <w:rPr>
          <w:rFonts w:ascii="Arial" w:eastAsia="Arial" w:hAnsi="Arial" w:cs="Arial"/>
          <w:sz w:val="20"/>
          <w:szCs w:val="20"/>
        </w:rPr>
        <w:t xml:space="preserve"> podrían quedar excluidos por uno o varios de estos requisitos, pese a contar con soluciones ampliamente implementadas en el sector público y privado.</w:t>
      </w:r>
    </w:p>
    <w:p w14:paraId="5088D0F2" w14:textId="77777777" w:rsidR="00BE6367" w:rsidRDefault="00C90F6A">
      <w:pPr>
        <w:jc w:val="both"/>
        <w:rPr>
          <w:rFonts w:ascii="Arial" w:eastAsia="Arial" w:hAnsi="Arial" w:cs="Arial"/>
          <w:sz w:val="20"/>
          <w:szCs w:val="20"/>
        </w:rPr>
      </w:pPr>
      <w:r>
        <w:rPr>
          <w:rFonts w:ascii="Arial" w:eastAsia="Arial" w:hAnsi="Arial" w:cs="Arial"/>
          <w:sz w:val="20"/>
          <w:szCs w:val="20"/>
        </w:rPr>
        <w:t>En virtud de los principios de libre concurrencia y selección objetiva, se recomienda que las especificaciones privilegien el cumplimiento de las funcionalidades requeridas por la Entidad, permitiendo la participación de soluciones técnicamente equivalentes, sin asociarse a configuraciones particulares que puedan reducir la pluralidad de oferentes.</w:t>
      </w:r>
    </w:p>
    <w:p w14:paraId="2BC4A80F"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Solicitud</w:t>
      </w:r>
    </w:p>
    <w:p w14:paraId="3270209D" w14:textId="77777777" w:rsidR="00BE6367" w:rsidRDefault="00C90F6A">
      <w:pPr>
        <w:jc w:val="both"/>
        <w:rPr>
          <w:rFonts w:ascii="Arial" w:eastAsia="Arial" w:hAnsi="Arial" w:cs="Arial"/>
          <w:sz w:val="20"/>
          <w:szCs w:val="20"/>
        </w:rPr>
      </w:pPr>
      <w:r>
        <w:rPr>
          <w:rFonts w:ascii="Arial" w:eastAsia="Arial" w:hAnsi="Arial" w:cs="Arial"/>
          <w:sz w:val="20"/>
          <w:szCs w:val="20"/>
        </w:rPr>
        <w:t>Solicitamos revisar integralmente la ficha técnica y flexibilizar aquellas especificaciones que no resulten indispensables para el cumplimiento del objeto contractual, permitiendo la participación de soluciones equivalentes de diferentes fabricantes, siempre que garanticen las funcionalidades requeridas y los niveles de desempeño esperados.</w:t>
      </w:r>
    </w:p>
    <w:p w14:paraId="12A006B9"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RESPUESTA A OBSERVACIÓN:</w:t>
      </w:r>
    </w:p>
    <w:p w14:paraId="202E98F6"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acepta parcialmente la observación. La Entidad precisa que el presente proceso, en su concepción original, no se encuentra limitado a un fabricante o grupo cerrado de fabricantes, y se mantiene abierto a la participación de cualquier proponente que oferte equipos que cumplan con la totalidad de los requisitos y parámetros establecidos en la ficha técnica (FTP).</w:t>
      </w:r>
    </w:p>
    <w:p w14:paraId="36AEE039"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obstante, la Entidad reconoce que, con ocasión de las distintas observaciones formuladas por los interesados a lo largo del presente proceso, se han efectuado los ajustes puntuales pertinentes a varios de los requisitos técnicos mencionados por el observante (conectividad Wi-Fi, Bluetooth, interfaz HDMI, resolución de vídeo, tasa de refresco, retroiluminación, entre otros), precisamente con el propósito de ampliar la pluralidad de oferentes y garantizar los principios de libre concurrencia y selección objetiva (art. 5 Ley 1150 de 2007), admitiendo tecnologías y versiones equivalentes o superiores en cada caso.</w:t>
      </w:r>
    </w:p>
    <w:p w14:paraId="6DDCAFCA"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este sentido, la Entidad considera que dichos ajustes individuales atienden, en gran medida, la preocupación planteada por el observante respecto del efecto combinado de las especificaciones técnicas, sin que ello implique una revisión adicional distinta a la ya incorporada en las respuestas a las observaciones puntuales sobre cada uno de los requisitos referidos.</w:t>
      </w:r>
    </w:p>
    <w:p w14:paraId="4650C45B"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ficha técnica se mantiene con los ajustes ya efectuados en respuesta a las observaciones individuales del proceso, los cuales se entienden incorporados como resultado de la aceptación parcial de la presente observación.</w:t>
      </w:r>
    </w:p>
    <w:p w14:paraId="2389A729" w14:textId="77777777" w:rsidR="00BE6367" w:rsidRDefault="00BE6367">
      <w:pPr>
        <w:jc w:val="both"/>
        <w:rPr>
          <w:rFonts w:ascii="Arial" w:eastAsia="Arial" w:hAnsi="Arial" w:cs="Arial"/>
          <w:sz w:val="20"/>
          <w:szCs w:val="20"/>
        </w:rPr>
      </w:pPr>
    </w:p>
    <w:p w14:paraId="72DE8A09"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PANTALLA LED PLEGABLE 136"</w:t>
      </w:r>
    </w:p>
    <w:p w14:paraId="5E6279AC" w14:textId="77777777" w:rsidR="00BE6367" w:rsidRDefault="00000000">
      <w:pPr>
        <w:jc w:val="both"/>
        <w:rPr>
          <w:rFonts w:ascii="Arial" w:eastAsia="Arial" w:hAnsi="Arial" w:cs="Arial"/>
          <w:sz w:val="20"/>
          <w:szCs w:val="20"/>
        </w:rPr>
      </w:pPr>
      <w:r>
        <w:pict w14:anchorId="36A41B9C">
          <v:rect id="_x0000_i1089" style="width:0;height:1.5pt" o:hralign="center" o:hrstd="t" o:hr="t" fillcolor="#a0a0a0" stroked="f"/>
        </w:pict>
      </w:r>
    </w:p>
    <w:p w14:paraId="02E2A5D0"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 No. 1 – Tipo "3 Panel LED Plegable"</w:t>
      </w:r>
    </w:p>
    <w:p w14:paraId="4BFFC65F" w14:textId="77777777" w:rsidR="00BE6367" w:rsidRDefault="00C90F6A">
      <w:pPr>
        <w:spacing w:after="280"/>
        <w:jc w:val="both"/>
        <w:rPr>
          <w:rFonts w:ascii="Arial" w:eastAsia="Arial" w:hAnsi="Arial" w:cs="Arial"/>
          <w:sz w:val="20"/>
          <w:szCs w:val="20"/>
        </w:rPr>
      </w:pPr>
      <w:r>
        <w:rPr>
          <w:rFonts w:ascii="Arial" w:eastAsia="Arial" w:hAnsi="Arial" w:cs="Arial"/>
          <w:b/>
          <w:bCs/>
          <w:sz w:val="20"/>
          <w:szCs w:val="20"/>
        </w:rPr>
        <w:t>Requisito observado</w:t>
      </w:r>
    </w:p>
    <w:p w14:paraId="2E6A11FE"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Tipo: LED (3 PANEL LED PLEGABLE). </w:t>
      </w:r>
    </w:p>
    <w:p w14:paraId="364101D5"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w:t>
      </w:r>
    </w:p>
    <w:p w14:paraId="76F029EF"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lastRenderedPageBreak/>
        <w:t xml:space="preserve">La especificación establece una configuración constructiva muy particular basada en tres paneles plegables. Sin embargo, en el mercado existen soluciones LED All-in-One de fabricantes como </w:t>
      </w:r>
      <w:r>
        <w:rPr>
          <w:rFonts w:ascii="Arial" w:eastAsia="Arial" w:hAnsi="Arial" w:cs="Arial"/>
          <w:b/>
          <w:bCs/>
          <w:sz w:val="20"/>
          <w:szCs w:val="20"/>
        </w:rPr>
        <w:t>Samsung, LG, Absen, Unilumin, Leyard, ViewSonic y Hikvision</w:t>
      </w:r>
      <w:r>
        <w:rPr>
          <w:rFonts w:ascii="Arial" w:eastAsia="Arial" w:hAnsi="Arial" w:cs="Arial"/>
          <w:sz w:val="20"/>
          <w:szCs w:val="20"/>
        </w:rPr>
        <w:t>, cuyos sistemas utilizan diferentes configuraciones estructurales (dos paneles, cuatro paneles o módulos ensamblables) que ofrecen las mismas funcionalidades de transporte, instalación y operación.</w:t>
      </w:r>
    </w:p>
    <w:p w14:paraId="7685A2B1"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Limitar el proceso a una arquitectura específica restringe la pluralidad de oferentes sin evidenciar que dicha configuración sea indispensable para satisfacer la necesidad de la Entidad.</w:t>
      </w:r>
    </w:p>
    <w:p w14:paraId="7FBF5DA7"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Solicitud</w:t>
      </w:r>
    </w:p>
    <w:p w14:paraId="6B78CB86"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Solicitamos exigir una solución LED All-in-One portátil o plegable, permitiendo diferentes configuraciones constructivas que garanticen la funcionalidad requerida.</w:t>
      </w:r>
    </w:p>
    <w:p w14:paraId="1424B743"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RESPUESTA A OBSERVACIÓN:</w:t>
      </w:r>
    </w:p>
    <w:p w14:paraId="5F974840"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No se acepta la observación. Este mismo cuestionamiento, referido a la configuración constructiva del panel del Videowall LED Plegable de 136", ya fue formulado por otro proponente dentro del presente proceso, frente a lo cual la Entidad se pronunció en el sentido de mantener la exigencia de la configuración constructiva definida en la ficha técnica, por las razones allí expuestas, las cuales se reiteran en esta respuesta para efectos de garantizar la coherencia e igualdad de trato entre todos los interesados en el proceso. </w:t>
      </w:r>
    </w:p>
    <w:p w14:paraId="49BBA0F5" w14:textId="77777777" w:rsidR="00BE6367" w:rsidRDefault="00000000">
      <w:pPr>
        <w:jc w:val="both"/>
        <w:rPr>
          <w:rFonts w:ascii="Arial" w:eastAsia="Arial" w:hAnsi="Arial" w:cs="Arial"/>
          <w:sz w:val="20"/>
          <w:szCs w:val="20"/>
        </w:rPr>
      </w:pPr>
      <w:r>
        <w:pict w14:anchorId="50C4053D">
          <v:rect id="_x0000_i1090" style="width:0;height:1.5pt" o:hralign="center" o:hrstd="t" o:hr="t" fillcolor="#a0a0a0" stroked="f"/>
        </w:pict>
      </w:r>
    </w:p>
    <w:p w14:paraId="3E1AAB73"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 No. 2 – Panel FLIP CHIP COB obligatorio</w:t>
      </w:r>
    </w:p>
    <w:p w14:paraId="20302974" w14:textId="77777777" w:rsidR="00BE6367" w:rsidRDefault="00C90F6A">
      <w:pPr>
        <w:spacing w:after="280"/>
        <w:jc w:val="both"/>
        <w:rPr>
          <w:rFonts w:ascii="Arial" w:eastAsia="Arial" w:hAnsi="Arial" w:cs="Arial"/>
          <w:sz w:val="20"/>
          <w:szCs w:val="20"/>
        </w:rPr>
      </w:pPr>
      <w:r>
        <w:rPr>
          <w:rFonts w:ascii="Arial" w:eastAsia="Arial" w:hAnsi="Arial" w:cs="Arial"/>
          <w:b/>
          <w:bCs/>
          <w:sz w:val="20"/>
          <w:szCs w:val="20"/>
        </w:rPr>
        <w:t>Requisito observado</w:t>
      </w:r>
    </w:p>
    <w:p w14:paraId="72B31656"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Panel y revestimiento mínimo FLIP CHIP COB. </w:t>
      </w:r>
    </w:p>
    <w:p w14:paraId="5B6CE138"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w:t>
      </w:r>
    </w:p>
    <w:p w14:paraId="7B090478"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Actualmente el mercado ofrece tecnologías </w:t>
      </w:r>
      <w:r>
        <w:rPr>
          <w:rFonts w:ascii="Arial" w:eastAsia="Arial" w:hAnsi="Arial" w:cs="Arial"/>
          <w:b/>
          <w:bCs/>
          <w:sz w:val="20"/>
          <w:szCs w:val="20"/>
        </w:rPr>
        <w:t>Flip Chip COB, SMD, IMD, GOB y Micro LED</w:t>
      </w:r>
      <w:r>
        <w:rPr>
          <w:rFonts w:ascii="Arial" w:eastAsia="Arial" w:hAnsi="Arial" w:cs="Arial"/>
          <w:sz w:val="20"/>
          <w:szCs w:val="20"/>
        </w:rPr>
        <w:t>, todas ampliamente utilizadas en soluciones profesionales. Cada fabricante adopta una tecnología diferente según su arquitectura, sin que ello implique necesariamente una diferencia significativa en calidad de imagen, durabilidad o confiabilidad.</w:t>
      </w:r>
    </w:p>
    <w:p w14:paraId="23FD7BB6"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La exigencia exclusiva de </w:t>
      </w:r>
      <w:r>
        <w:rPr>
          <w:rFonts w:ascii="Arial" w:eastAsia="Arial" w:hAnsi="Arial" w:cs="Arial"/>
          <w:b/>
          <w:bCs/>
          <w:sz w:val="20"/>
          <w:szCs w:val="20"/>
        </w:rPr>
        <w:t>Flip Chip COB</w:t>
      </w:r>
      <w:r>
        <w:rPr>
          <w:rFonts w:ascii="Arial" w:eastAsia="Arial" w:hAnsi="Arial" w:cs="Arial"/>
          <w:sz w:val="20"/>
          <w:szCs w:val="20"/>
        </w:rPr>
        <w:t xml:space="preserve"> limita la participación de fabricantes como </w:t>
      </w:r>
      <w:r>
        <w:rPr>
          <w:rFonts w:ascii="Arial" w:eastAsia="Arial" w:hAnsi="Arial" w:cs="Arial"/>
          <w:b/>
          <w:bCs/>
          <w:sz w:val="20"/>
          <w:szCs w:val="20"/>
        </w:rPr>
        <w:t>Samsung, LG, Absen, Unilumin, Leyard y ViewSonic</w:t>
      </w:r>
      <w:r>
        <w:rPr>
          <w:rFonts w:ascii="Arial" w:eastAsia="Arial" w:hAnsi="Arial" w:cs="Arial"/>
          <w:sz w:val="20"/>
          <w:szCs w:val="20"/>
        </w:rPr>
        <w:t>, cuyas soluciones emplean tecnologías equivalentes con excelente desempeño.</w:t>
      </w:r>
    </w:p>
    <w:p w14:paraId="4E7FC25E"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Solicitud</w:t>
      </w:r>
    </w:p>
    <w:p w14:paraId="16507468"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Permitir tecnologías LED equivalentes que garanticen la calidad, protección del panel y vida útil requerida.</w:t>
      </w:r>
    </w:p>
    <w:p w14:paraId="53610AA8" w14:textId="77777777" w:rsidR="006C3683" w:rsidRDefault="006C3683">
      <w:pPr>
        <w:spacing w:after="280"/>
        <w:jc w:val="both"/>
        <w:rPr>
          <w:rFonts w:ascii="Arial" w:eastAsia="Arial" w:hAnsi="Arial" w:cs="Arial"/>
          <w:sz w:val="20"/>
          <w:szCs w:val="20"/>
        </w:rPr>
      </w:pPr>
    </w:p>
    <w:p w14:paraId="2E1F0891" w14:textId="77777777" w:rsidR="006C3683" w:rsidRDefault="006C3683">
      <w:pPr>
        <w:spacing w:after="280"/>
        <w:jc w:val="both"/>
        <w:rPr>
          <w:rFonts w:ascii="Arial" w:eastAsia="Arial" w:hAnsi="Arial" w:cs="Arial"/>
          <w:sz w:val="20"/>
          <w:szCs w:val="20"/>
        </w:rPr>
      </w:pPr>
    </w:p>
    <w:p w14:paraId="278E6E9C"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lastRenderedPageBreak/>
        <w:t>RESPUESTA A OBSERVACIÓN:</w:t>
      </w:r>
    </w:p>
    <w:p w14:paraId="1E360C53"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Se acepta la observación, en los mismos términos ya definidos por la Entidad frente a este mismo requisito con ocasión de una observación similar formulada por otro proponente dentro del presente proceso. </w:t>
      </w:r>
    </w:p>
    <w:p w14:paraId="1A8381BB" w14:textId="77777777" w:rsidR="00BE6367" w:rsidRDefault="00000000">
      <w:pPr>
        <w:jc w:val="both"/>
        <w:rPr>
          <w:rFonts w:ascii="Arial" w:eastAsia="Arial" w:hAnsi="Arial" w:cs="Arial"/>
          <w:sz w:val="20"/>
          <w:szCs w:val="20"/>
        </w:rPr>
      </w:pPr>
      <w:r>
        <w:pict w14:anchorId="0B09DFA3">
          <v:rect id="_x0000_i1091" style="width:0;height:1.5pt" o:hralign="center" o:hrstd="t" o:hr="t" fillcolor="#a0a0a0" stroked="f"/>
        </w:pict>
      </w:r>
    </w:p>
    <w:p w14:paraId="4214918A"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 No. 3 – Android 9 integrado</w:t>
      </w:r>
    </w:p>
    <w:p w14:paraId="2A203439" w14:textId="77777777" w:rsidR="00BE6367" w:rsidRDefault="00C90F6A">
      <w:pPr>
        <w:spacing w:after="280"/>
        <w:jc w:val="both"/>
        <w:rPr>
          <w:rFonts w:ascii="Arial" w:eastAsia="Arial" w:hAnsi="Arial" w:cs="Arial"/>
          <w:sz w:val="20"/>
          <w:szCs w:val="20"/>
        </w:rPr>
      </w:pPr>
      <w:r>
        <w:rPr>
          <w:rFonts w:ascii="Arial" w:eastAsia="Arial" w:hAnsi="Arial" w:cs="Arial"/>
          <w:b/>
          <w:bCs/>
          <w:sz w:val="20"/>
          <w:szCs w:val="20"/>
        </w:rPr>
        <w:t>Requisito observado</w:t>
      </w:r>
    </w:p>
    <w:p w14:paraId="3080476C"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Sistema operativo Android 9 integrado. </w:t>
      </w:r>
    </w:p>
    <w:p w14:paraId="4440D679"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w:t>
      </w:r>
    </w:p>
    <w:p w14:paraId="0670AA71"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El sistema operativo integrado varía ampliamente entre fabricantes. Algunos equipos operan con Android 11, Android 13 o incluso plataformas Linux embebidas para la administración del sistema.</w:t>
      </w:r>
    </w:p>
    <w:p w14:paraId="2B47534B"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La funcionalidad de la pantalla no depende de una versión específica de Android, sino de la capacidad para gestionar contenidos y dispositivos externos.</w:t>
      </w:r>
    </w:p>
    <w:p w14:paraId="6A533E75"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Solicitud</w:t>
      </w:r>
    </w:p>
    <w:p w14:paraId="16900305"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Permitir cualquier sistema operativo integrado o plataforma equivalente que garantice las funcionalidades solicitadas.</w:t>
      </w:r>
    </w:p>
    <w:p w14:paraId="2DD09B9A"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RESPUESTA A OBSERVACIÓN:</w:t>
      </w:r>
    </w:p>
    <w:p w14:paraId="36EE330B"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aclara que el requisito de sistema operativo Android 9 corresponde a una versión mínima, y no a un valor cerrado o exacto, por lo cual cada proponente es libre de ofertar un equipo con el mismo sistema operativo (Android 9) o una versión superior (Android 10, 11, 13, u otra posterior), sin que ello afecte el cumplimiento del requisito.</w:t>
      </w:r>
    </w:p>
    <w:p w14:paraId="6B290D80"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Frente a la solicitud de admitir plataformas distintas a Android (v. gr., Linux embebido u otras), la Entidad aclara que no se acepta dicha alternativa, por cuanto la administración del contenido, aplicaciones y compatibilidad con el ecosistema de software previsto para la solución se estructuró específicamente sobre el sistema operativo Android.</w:t>
      </w:r>
    </w:p>
    <w:p w14:paraId="20F7E5E8" w14:textId="77777777" w:rsidR="00BE6367" w:rsidRDefault="00000000">
      <w:pPr>
        <w:jc w:val="both"/>
        <w:rPr>
          <w:rFonts w:ascii="Arial" w:eastAsia="Arial" w:hAnsi="Arial" w:cs="Arial"/>
          <w:sz w:val="20"/>
          <w:szCs w:val="20"/>
        </w:rPr>
      </w:pPr>
      <w:r>
        <w:pict w14:anchorId="14D527F7">
          <v:rect id="_x0000_i1092" style="width:0;height:1.5pt" o:hralign="center" o:hrstd="t" o:hr="t" fillcolor="#a0a0a0" stroked="f"/>
        </w:pict>
      </w:r>
    </w:p>
    <w:p w14:paraId="613BB93D"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 No. 4 – Resolución fija Full HD</w:t>
      </w:r>
    </w:p>
    <w:p w14:paraId="4B3E4FB2" w14:textId="77777777" w:rsidR="00BE6367" w:rsidRDefault="00C90F6A">
      <w:pPr>
        <w:spacing w:after="280"/>
        <w:jc w:val="both"/>
        <w:rPr>
          <w:rFonts w:ascii="Arial" w:eastAsia="Arial" w:hAnsi="Arial" w:cs="Arial"/>
          <w:sz w:val="20"/>
          <w:szCs w:val="20"/>
        </w:rPr>
      </w:pPr>
      <w:r>
        <w:rPr>
          <w:rFonts w:ascii="Arial" w:eastAsia="Arial" w:hAnsi="Arial" w:cs="Arial"/>
          <w:b/>
          <w:bCs/>
          <w:sz w:val="20"/>
          <w:szCs w:val="20"/>
        </w:rPr>
        <w:t>Requisito observado</w:t>
      </w:r>
    </w:p>
    <w:p w14:paraId="30844724"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Resolución mínima 1920 × 1080. </w:t>
      </w:r>
    </w:p>
    <w:p w14:paraId="5DAA03FF"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w:t>
      </w:r>
    </w:p>
    <w:p w14:paraId="5E683842"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Si bien Full HD constituye un requerimiento mínimo razonable, existen fabricantes que ofrecen resoluciones superiores como 2K o 4K nativas. Se recomienda aclarar que se aceptarán resoluciones iguales o superiores para evitar interpretaciones restrictivas.</w:t>
      </w:r>
    </w:p>
    <w:p w14:paraId="5F432806"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lastRenderedPageBreak/>
        <w:t>Solicitud</w:t>
      </w:r>
    </w:p>
    <w:p w14:paraId="2E63452C"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Indicar expresamente que se aceptarán resoluciones superiores.</w:t>
      </w:r>
    </w:p>
    <w:p w14:paraId="31617E67" w14:textId="77985E3E"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RESPUESTA A OBSERVACIÓN:</w:t>
      </w:r>
    </w:p>
    <w:p w14:paraId="043B11F5"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Se aclara que la resolución de 1920×1080 (Full HD) constituye un requerimiento mínimo, y no un valor exacto o cerrado. En consecuencia, cada proponente es libre de ofertar equipos con dicha resolución o con resoluciones superiores (2K, 4K u otras), sin que ello afecte el cumplimiento del requisito ni implique un tratamiento distinto en la evaluación de las ofertas. </w:t>
      </w:r>
    </w:p>
    <w:p w14:paraId="692CA3FE" w14:textId="77777777" w:rsidR="00BE6367" w:rsidRDefault="00000000">
      <w:pPr>
        <w:jc w:val="both"/>
        <w:rPr>
          <w:rFonts w:ascii="Arial" w:eastAsia="Arial" w:hAnsi="Arial" w:cs="Arial"/>
          <w:sz w:val="20"/>
          <w:szCs w:val="20"/>
        </w:rPr>
      </w:pPr>
      <w:r>
        <w:pict w14:anchorId="506AE79A">
          <v:rect id="_x0000_i1093" style="width:0;height:1.5pt" o:hralign="center" o:hrstd="t" o:hr="t" fillcolor="#a0a0a0" stroked="f"/>
        </w:pict>
      </w:r>
    </w:p>
    <w:p w14:paraId="709C25C1"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 No. 5 – Tasa de refresco mínima de 50 Hz</w:t>
      </w:r>
    </w:p>
    <w:p w14:paraId="31615F31" w14:textId="77777777" w:rsidR="00BE6367" w:rsidRDefault="00C90F6A">
      <w:pPr>
        <w:spacing w:after="280"/>
        <w:jc w:val="both"/>
        <w:rPr>
          <w:rFonts w:ascii="Arial" w:eastAsia="Arial" w:hAnsi="Arial" w:cs="Arial"/>
          <w:sz w:val="20"/>
          <w:szCs w:val="20"/>
        </w:rPr>
      </w:pPr>
      <w:r>
        <w:rPr>
          <w:rFonts w:ascii="Arial" w:eastAsia="Arial" w:hAnsi="Arial" w:cs="Arial"/>
          <w:b/>
          <w:bCs/>
          <w:sz w:val="20"/>
          <w:szCs w:val="20"/>
        </w:rPr>
        <w:t>Requisito observado</w:t>
      </w:r>
    </w:p>
    <w:p w14:paraId="7F8D9ADC"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Tasa de refresco mínima de 50 Hz. </w:t>
      </w:r>
    </w:p>
    <w:p w14:paraId="767AF5BC"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w:t>
      </w:r>
    </w:p>
    <w:p w14:paraId="66322B66"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En el mercado profesional la mayoría de fabricantes ofrecen tasas de refresco de 60 Hz, 120 Hz o superiores. La especificación de 50 Hz corresponde más a un estándar de señal de video que a una característica técnica del panel.</w:t>
      </w:r>
    </w:p>
    <w:p w14:paraId="2DB7DCDF"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Se recomienda establecer el requisito en función de la compatibilidad con señales de video estándar y no de una frecuencia específica.</w:t>
      </w:r>
    </w:p>
    <w:p w14:paraId="01A1114F"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Solicitud</w:t>
      </w:r>
    </w:p>
    <w:p w14:paraId="1B21C351"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Permitir tasas de refresco iguales o superiores a 50 Hz.</w:t>
      </w:r>
    </w:p>
    <w:p w14:paraId="794EB611"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RESPUESTA A OBSERVACIÓN:</w:t>
      </w:r>
    </w:p>
    <w:p w14:paraId="5BABA5F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aclara que la exigencia de tasa de refresco mínima de 50 Hz constituye un requerimiento mínimo, y no un valor exacto o cerrado. En consecuencia, cada proponente es libre de ofertar equipos con dicha tasa de refresco o con tasas superiores (60 Hz, 120 Hz u otras), sin que ello afecte el cumplimiento del requisito ni implique un tratamiento distinto en la evaluación de las ofertas.</w:t>
      </w:r>
    </w:p>
    <w:p w14:paraId="630BF496"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Frente a la observación relativa a que 50 Hz correspondería más a un estándar de señal de video que a una característica propia del panel, la Entidad precisa que el requisito busca garantizar la compatibilidad del equipo con las señales de video estándar previstas para su operación, admitiéndose que dicha compatibilidad se logre mediante paneles con tasas de refresco de 50 Hz o superiores, siempre que se garantice una reproducción de imagen estable y sin distorsión frente a las fuentes de contenido utilizadas por la Entidad.</w:t>
      </w:r>
    </w:p>
    <w:p w14:paraId="5CB30D3C" w14:textId="77777777" w:rsidR="00BE6367" w:rsidRDefault="00BE6367">
      <w:pPr>
        <w:spacing w:after="280"/>
        <w:jc w:val="both"/>
        <w:rPr>
          <w:rFonts w:ascii="Arial" w:eastAsia="Arial" w:hAnsi="Arial" w:cs="Arial"/>
          <w:sz w:val="20"/>
          <w:szCs w:val="20"/>
        </w:rPr>
      </w:pPr>
    </w:p>
    <w:p w14:paraId="5C0FA278" w14:textId="77777777" w:rsidR="00BE6367" w:rsidRDefault="00000000">
      <w:pPr>
        <w:jc w:val="both"/>
        <w:rPr>
          <w:rFonts w:ascii="Arial" w:eastAsia="Arial" w:hAnsi="Arial" w:cs="Arial"/>
          <w:sz w:val="20"/>
          <w:szCs w:val="20"/>
        </w:rPr>
      </w:pPr>
      <w:r>
        <w:pict w14:anchorId="3043D39E">
          <v:rect id="_x0000_i1094" style="width:0;height:1.5pt" o:hralign="center" o:hrstd="t" o:hr="t" fillcolor="#a0a0a0" stroked="f"/>
        </w:pict>
      </w:r>
    </w:p>
    <w:p w14:paraId="5ED8B01B"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 No. 6 – Brillo mínimo de 500 nits</w:t>
      </w:r>
    </w:p>
    <w:p w14:paraId="39E8E5D5" w14:textId="77777777" w:rsidR="00BE6367" w:rsidRDefault="00C90F6A">
      <w:pPr>
        <w:spacing w:after="280"/>
        <w:jc w:val="both"/>
        <w:rPr>
          <w:rFonts w:ascii="Arial" w:eastAsia="Arial" w:hAnsi="Arial" w:cs="Arial"/>
          <w:sz w:val="20"/>
          <w:szCs w:val="20"/>
        </w:rPr>
      </w:pPr>
      <w:r>
        <w:rPr>
          <w:rFonts w:ascii="Arial" w:eastAsia="Arial" w:hAnsi="Arial" w:cs="Arial"/>
          <w:b/>
          <w:bCs/>
          <w:sz w:val="20"/>
          <w:szCs w:val="20"/>
        </w:rPr>
        <w:lastRenderedPageBreak/>
        <w:t>Requisito observado</w:t>
      </w:r>
    </w:p>
    <w:p w14:paraId="36C5F70B"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Brillo mínimo de 500 nits. </w:t>
      </w:r>
    </w:p>
    <w:p w14:paraId="63A33297"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w:t>
      </w:r>
    </w:p>
    <w:p w14:paraId="06D8C3A5"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El brillo es solo uno de los factores que determinan la calidad de visualización. La relación de contraste, el tratamiento antirreflejo, la uniformidad y el procesamiento de imagen también inciden en el desempeño.</w:t>
      </w:r>
    </w:p>
    <w:p w14:paraId="44D63CED"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Solicitamos que el requisito privilegie el desempeño visual integral y permita soluciones equivalentes que aseguren una adecuada visualización.</w:t>
      </w:r>
    </w:p>
    <w:p w14:paraId="43D8A8D6" w14:textId="77777777" w:rsidR="006C3683" w:rsidRDefault="00C90F6A">
      <w:pPr>
        <w:spacing w:after="280"/>
        <w:jc w:val="both"/>
        <w:rPr>
          <w:rFonts w:ascii="Arial" w:eastAsia="Arial" w:hAnsi="Arial" w:cs="Arial"/>
          <w:b/>
          <w:bCs/>
          <w:sz w:val="20"/>
          <w:szCs w:val="20"/>
        </w:rPr>
      </w:pPr>
      <w:r>
        <w:rPr>
          <w:rFonts w:ascii="Arial" w:eastAsia="Arial" w:hAnsi="Arial" w:cs="Arial"/>
          <w:b/>
          <w:bCs/>
          <w:sz w:val="20"/>
          <w:szCs w:val="20"/>
        </w:rPr>
        <w:t>RESPUESTA A OBSERVACIÓN:</w:t>
      </w:r>
    </w:p>
    <w:p w14:paraId="69EC1B79" w14:textId="2B6459E0" w:rsidR="00BE6367" w:rsidRDefault="00C90F6A">
      <w:pPr>
        <w:spacing w:after="280"/>
        <w:jc w:val="both"/>
        <w:rPr>
          <w:rFonts w:ascii="Arial" w:eastAsia="Arial" w:hAnsi="Arial" w:cs="Arial"/>
          <w:sz w:val="20"/>
          <w:szCs w:val="20"/>
        </w:rPr>
      </w:pPr>
      <w:r>
        <w:rPr>
          <w:rFonts w:ascii="Arial" w:eastAsia="Arial" w:hAnsi="Arial" w:cs="Arial"/>
          <w:sz w:val="20"/>
          <w:szCs w:val="20"/>
        </w:rPr>
        <w:t>No se acepta la observación. No es clara la solicitud formulada en relación con el requisito de brillo, en la medida en que el observante no propone una especificación técnica alternativa concreta y verificable que sustituya el valor exigido, limitándose a plantear, en términos genéricos, que se privilegie el "desempeño visual integral" sin precisar los parámetros objetivos bajo los cuales dicho desempeño podría evaluarse.</w:t>
      </w:r>
    </w:p>
    <w:p w14:paraId="21E6E6D2"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especificación de brillo mínimo de 500 nits solicitada en la ficha técnica constituye un valor mínimo habilitante, pudiendo los proponentes ofrecer soluciones con brillo igual o superior a dicho valor.</w:t>
      </w:r>
    </w:p>
    <w:p w14:paraId="3231D56A"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se mantiene el requisito de brillo mínimo de 500 nits para el ítem "3 Panel LED Plegable" en los términos definidos en la ficha técnica.</w:t>
      </w:r>
    </w:p>
    <w:p w14:paraId="3CD51627" w14:textId="77777777" w:rsidR="00BE6367" w:rsidRDefault="00BE6367">
      <w:pPr>
        <w:spacing w:after="280"/>
        <w:jc w:val="both"/>
        <w:rPr>
          <w:rFonts w:ascii="Arial" w:eastAsia="Arial" w:hAnsi="Arial" w:cs="Arial"/>
          <w:b/>
          <w:bCs/>
          <w:sz w:val="20"/>
          <w:szCs w:val="20"/>
        </w:rPr>
      </w:pPr>
    </w:p>
    <w:p w14:paraId="55BFBD6B" w14:textId="77777777" w:rsidR="00BE6367" w:rsidRDefault="00000000">
      <w:pPr>
        <w:jc w:val="both"/>
        <w:rPr>
          <w:rFonts w:ascii="Arial" w:eastAsia="Arial" w:hAnsi="Arial" w:cs="Arial"/>
          <w:sz w:val="20"/>
          <w:szCs w:val="20"/>
        </w:rPr>
      </w:pPr>
      <w:r>
        <w:pict w14:anchorId="351A119E">
          <v:rect id="_x0000_i1095" style="width:0;height:1.5pt" o:hralign="center" o:hrstd="t" o:hr="t" fillcolor="#a0a0a0" stroked="f"/>
        </w:pict>
      </w:r>
    </w:p>
    <w:p w14:paraId="37D29740"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 No. 7 – Conectividad física específica</w:t>
      </w:r>
    </w:p>
    <w:p w14:paraId="250142E0" w14:textId="77777777" w:rsidR="00BE6367" w:rsidRDefault="00C90F6A">
      <w:pPr>
        <w:spacing w:after="280"/>
        <w:jc w:val="both"/>
        <w:rPr>
          <w:rFonts w:ascii="Arial" w:eastAsia="Arial" w:hAnsi="Arial" w:cs="Arial"/>
          <w:sz w:val="20"/>
          <w:szCs w:val="20"/>
        </w:rPr>
      </w:pPr>
      <w:r>
        <w:rPr>
          <w:rFonts w:ascii="Arial" w:eastAsia="Arial" w:hAnsi="Arial" w:cs="Arial"/>
          <w:b/>
          <w:bCs/>
          <w:sz w:val="20"/>
          <w:szCs w:val="20"/>
        </w:rPr>
        <w:t>Requisito observado</w:t>
      </w:r>
    </w:p>
    <w:p w14:paraId="3C6F4FEF"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RJ45, RS232, HDMI 1.3 In, HDMI 1.3 Out, cuatro USB, Audio Out y SPDIF. </w:t>
      </w:r>
    </w:p>
    <w:p w14:paraId="155A6562"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w:t>
      </w:r>
    </w:p>
    <w:p w14:paraId="47F0271C"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La distribución de puertos varía considerablemente entre fabricantes. Algunos equipos reemplazan interfaces RS232 por administración IP, incorporan HDMI 2.0 o DisplayPort, o integran puertos USB-C.</w:t>
      </w:r>
    </w:p>
    <w:p w14:paraId="63193416"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Exigir una combinación exacta de interfaces limita la participación de soluciones técnicamente equivalentes.</w:t>
      </w:r>
    </w:p>
    <w:p w14:paraId="58F024CE"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Solicitud</w:t>
      </w:r>
    </w:p>
    <w:p w14:paraId="0FC0D37F"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Permitir configuraciones equivalentes que garanticen las funcionalidades de administración, video y conectividad.</w:t>
      </w:r>
    </w:p>
    <w:p w14:paraId="737E6EBF"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RESPUESTA A OBSERVACIÓN:</w:t>
      </w:r>
    </w:p>
    <w:p w14:paraId="546B9DC1"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lastRenderedPageBreak/>
        <w:t>Se acepta parcialmente la observación, en los mismos términos ya definidos por la Entidad para este mismo ítem en observaciones anteriores del presente proceso.</w:t>
      </w:r>
    </w:p>
    <w:p w14:paraId="3F8FE56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cuanto a los puertos USB, se mantiene el requisito de mínimo 4 puertos, los cuales podrán cumplirse de manera nativa en el equipo o mediante Hub USB externo incluido en la entrega.</w:t>
      </w:r>
    </w:p>
    <w:p w14:paraId="0E61918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cuanto a la conectividad RS232 y SPDIF, dichos requisitos podrán cumplirse de manera nativa en el equipo o mediante adaptadores o convertidores externos incluidos en la entrega, sin que ello modifique el estándar funcional exigido por la Entidad.</w:t>
      </w:r>
    </w:p>
    <w:p w14:paraId="501845A6"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cuanto a la interfaz HDMI, se aclara que el requisito de HDMI 1.3 (tanto de entrada como de salida) corresponde a una versión mínima, admitiéndose versiones superiores (HDMI 2.0, 2.1) u otras interfaces de video equivalentes (DisplayPort), siempre que el proponente acredite, mediante ficha técnica del fabricante, que dichas interfaces garantizan la misma funcionalidad de conexión exigida para el uso previsto del equipo.</w:t>
      </w:r>
    </w:p>
    <w:p w14:paraId="4E34E332"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se acepta, en cambio, sustituir la administración por RS232 por una arquitectura exclusiva de administración vía IP, por cuanto la Entidad considera necesario mantener disponible la interfaz de control serial como mecanismo de administración, sin perjuicio de que dicha interfaz pueda suplirse mediante adaptador externo, conforme a lo ya señalado.</w:t>
      </w:r>
    </w:p>
    <w:p w14:paraId="5DFCD299"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ficha técnica será ajustada para reflejar los criterios de equivalencia aquí señalados para USB, RS232, SPDIF y HDMI, manteniéndose el requisito de administración mediante RS232 (nativo o por adaptador) en los términos ya definidos</w:t>
      </w:r>
    </w:p>
    <w:p w14:paraId="472824D4" w14:textId="77777777" w:rsidR="00BE6367" w:rsidRDefault="00000000">
      <w:pPr>
        <w:jc w:val="both"/>
        <w:rPr>
          <w:rFonts w:ascii="Arial" w:eastAsia="Arial" w:hAnsi="Arial" w:cs="Arial"/>
          <w:sz w:val="20"/>
          <w:szCs w:val="20"/>
        </w:rPr>
      </w:pPr>
      <w:r>
        <w:pict w14:anchorId="44229D3C">
          <v:rect id="_x0000_i1096" style="width:0;height:1.5pt" o:hralign="center" o:hrstd="t" o:hr="t" fillcolor="#a0a0a0" stroked="f"/>
        </w:pict>
      </w:r>
    </w:p>
    <w:p w14:paraId="6A19AC69"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 No. 8 – HDMI 1.3</w:t>
      </w:r>
    </w:p>
    <w:p w14:paraId="75F81859" w14:textId="77777777" w:rsidR="00BE6367" w:rsidRDefault="00C90F6A">
      <w:pPr>
        <w:spacing w:after="280"/>
        <w:jc w:val="both"/>
        <w:rPr>
          <w:rFonts w:ascii="Arial" w:eastAsia="Arial" w:hAnsi="Arial" w:cs="Arial"/>
          <w:sz w:val="20"/>
          <w:szCs w:val="20"/>
        </w:rPr>
      </w:pPr>
      <w:r>
        <w:rPr>
          <w:rFonts w:ascii="Arial" w:eastAsia="Arial" w:hAnsi="Arial" w:cs="Arial"/>
          <w:b/>
          <w:bCs/>
          <w:sz w:val="20"/>
          <w:szCs w:val="20"/>
        </w:rPr>
        <w:t>Requisito observado</w:t>
      </w:r>
    </w:p>
    <w:p w14:paraId="49CB173A"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HDMI 1.3. </w:t>
      </w:r>
    </w:p>
    <w:p w14:paraId="0F46E085"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w:t>
      </w:r>
    </w:p>
    <w:p w14:paraId="2D1FF6A1"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La especificación de una versión específica de HDMI puede generar confusión, ya que la mayoría de fabricantes actualmente implementan HDMI 2.0 o HDMI 2.1, plenamente compatibles con versiones anteriores.</w:t>
      </w:r>
    </w:p>
    <w:p w14:paraId="3E454DB0"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Solicitamos aceptar interfaces HDMI de versión igual o superior.</w:t>
      </w:r>
    </w:p>
    <w:p w14:paraId="03C2328E"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RESPUESTA A OBSERVACIÓN:</w:t>
      </w:r>
    </w:p>
    <w:p w14:paraId="4C1A2E5A"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Se aclara que el requisito de interfaz HDMI 1.3 corresponde a una versión mínima, y no a un valor exacto o cerrado. En consecuencia, los proponentes son libres de ofertar equipos con dicha versión o con versiones superiores (HDMI 2.0, HDMI 2.1 u otras posteriores), sin que ello afecte el cumplimiento del requisito ni implique un tratamiento distinto en la evaluación de las ofertas. </w:t>
      </w:r>
    </w:p>
    <w:p w14:paraId="23711873" w14:textId="77777777" w:rsidR="00BE6367" w:rsidRDefault="00000000">
      <w:pPr>
        <w:jc w:val="both"/>
        <w:rPr>
          <w:rFonts w:ascii="Arial" w:eastAsia="Arial" w:hAnsi="Arial" w:cs="Arial"/>
          <w:sz w:val="20"/>
          <w:szCs w:val="20"/>
        </w:rPr>
      </w:pPr>
      <w:r>
        <w:pict w14:anchorId="7EF6E188">
          <v:rect id="_x0000_i1097" style="width:0;height:1.5pt" o:hralign="center" o:hrstd="t" o:hr="t" fillcolor="#a0a0a0" stroked="f"/>
        </w:pict>
      </w:r>
    </w:p>
    <w:p w14:paraId="44C3C0E1"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 No. 9 – Wi-Fi 6 y Bluetooth 5.0</w:t>
      </w:r>
    </w:p>
    <w:p w14:paraId="24CB4E0F" w14:textId="77777777" w:rsidR="00BE6367" w:rsidRDefault="00C90F6A">
      <w:pPr>
        <w:spacing w:after="280"/>
        <w:jc w:val="both"/>
        <w:rPr>
          <w:rFonts w:ascii="Arial" w:eastAsia="Arial" w:hAnsi="Arial" w:cs="Arial"/>
          <w:sz w:val="20"/>
          <w:szCs w:val="20"/>
        </w:rPr>
      </w:pPr>
      <w:r>
        <w:rPr>
          <w:rFonts w:ascii="Arial" w:eastAsia="Arial" w:hAnsi="Arial" w:cs="Arial"/>
          <w:b/>
          <w:bCs/>
          <w:sz w:val="20"/>
          <w:szCs w:val="20"/>
        </w:rPr>
        <w:lastRenderedPageBreak/>
        <w:t>Requisito observado</w:t>
      </w:r>
    </w:p>
    <w:p w14:paraId="267E5285"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Wi-Fi 6 y Bluetooth 5.0 o superior. </w:t>
      </w:r>
    </w:p>
    <w:p w14:paraId="57306D37"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w:t>
      </w:r>
    </w:p>
    <w:p w14:paraId="77DAB9F5"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En este tipo de soluciones la conectividad inalámbrica suele utilizarse para administración o proyección ocasional, mientras que la operación principal se realiza mediante conexiones cableadas.</w:t>
      </w:r>
    </w:p>
    <w:p w14:paraId="1D1CEA30"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Exigir Wi-Fi 6 puede excluir equipos que ofrecen Wi-Fi 5 con un desempeño adecuado para el uso previsto.</w:t>
      </w:r>
    </w:p>
    <w:p w14:paraId="7950E26A"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Solicitud</w:t>
      </w:r>
    </w:p>
    <w:p w14:paraId="2F0AF871"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Permitir Wi-Fi 5 (802.11ac) o superior y Bluetooth 5.0 o superior.</w:t>
      </w:r>
    </w:p>
    <w:p w14:paraId="52E9CB4F"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RESPUESTA A OBSERVACIÓN:</w:t>
      </w:r>
    </w:p>
    <w:p w14:paraId="6E2981B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acepta la observación, en los mismos términos ya definidos por la Entidad frente a observaciones similares formuladas por otros proponentes dentro del presente proceso, respecto de estos mismos dos requisitos.</w:t>
      </w:r>
    </w:p>
    <w:p w14:paraId="49635361"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cuanto a la conectividad Wi-Fi, la Entidad precisó que el requisito se entenderá satisfecho con "Wi-Fi de doble banda (2.4 GHz y 5 GHz) o superior", lo cual admite expresamente equipos con Wi-Fi 5 (802.11ac), en la medida en que dicho estándar opera bajo dicha configuración de doble banda.</w:t>
      </w:r>
    </w:p>
    <w:p w14:paraId="028285BC" w14:textId="77777777" w:rsidR="00BE6367" w:rsidRDefault="00C90F6A">
      <w:pPr>
        <w:spacing w:before="240" w:after="240"/>
        <w:jc w:val="both"/>
        <w:rPr>
          <w:rFonts w:ascii="Arial" w:eastAsia="Arial" w:hAnsi="Arial" w:cs="Arial"/>
          <w:b/>
          <w:bCs/>
          <w:sz w:val="20"/>
          <w:szCs w:val="20"/>
        </w:rPr>
      </w:pPr>
      <w:r>
        <w:rPr>
          <w:rFonts w:ascii="Arial" w:eastAsia="Arial" w:hAnsi="Arial" w:cs="Arial"/>
          <w:sz w:val="20"/>
          <w:szCs w:val="20"/>
        </w:rPr>
        <w:t>En cuanto a la conectividad Bluetooth, la Entidad precisó que el requisito se entenderá satisfecho con "Bluetooth 4.2 o superior", cifra que comprende igualmente la versión Bluetooth 5.0 y posteriores propuesta por el observante</w:t>
      </w:r>
      <w:r>
        <w:rPr>
          <w:rFonts w:ascii="Arial" w:eastAsia="Arial" w:hAnsi="Arial" w:cs="Arial"/>
          <w:b/>
          <w:bCs/>
          <w:sz w:val="20"/>
          <w:szCs w:val="20"/>
        </w:rPr>
        <w:t>.</w:t>
      </w:r>
    </w:p>
    <w:p w14:paraId="64513A70" w14:textId="77777777" w:rsidR="00BE6367" w:rsidRDefault="00BE6367">
      <w:pPr>
        <w:spacing w:after="280"/>
        <w:jc w:val="both"/>
        <w:rPr>
          <w:rFonts w:ascii="Arial" w:eastAsia="Arial" w:hAnsi="Arial" w:cs="Arial"/>
          <w:b/>
          <w:bCs/>
          <w:sz w:val="20"/>
          <w:szCs w:val="20"/>
        </w:rPr>
      </w:pPr>
    </w:p>
    <w:p w14:paraId="1B3BBCEC" w14:textId="77777777" w:rsidR="00BE6367" w:rsidRDefault="00000000">
      <w:pPr>
        <w:jc w:val="both"/>
        <w:rPr>
          <w:rFonts w:ascii="Arial" w:eastAsia="Arial" w:hAnsi="Arial" w:cs="Arial"/>
          <w:sz w:val="20"/>
          <w:szCs w:val="20"/>
        </w:rPr>
      </w:pPr>
      <w:r>
        <w:pict w14:anchorId="60371D55">
          <v:rect id="_x0000_i1098" style="width:0;height:1.5pt" o:hralign="center" o:hrstd="t" o:hr="t" fillcolor="#a0a0a0" stroked="f"/>
        </w:pict>
      </w:r>
    </w:p>
    <w:p w14:paraId="5DCB793B"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 No. 10 – Combinación de especificaciones técnicas</w:t>
      </w:r>
    </w:p>
    <w:p w14:paraId="61F6C1EB" w14:textId="77777777" w:rsidR="00BE6367" w:rsidRDefault="00C90F6A">
      <w:pPr>
        <w:spacing w:after="280"/>
        <w:jc w:val="both"/>
        <w:rPr>
          <w:rFonts w:ascii="Arial" w:eastAsia="Arial" w:hAnsi="Arial" w:cs="Arial"/>
          <w:sz w:val="20"/>
          <w:szCs w:val="20"/>
        </w:rPr>
      </w:pPr>
      <w:r>
        <w:rPr>
          <w:rFonts w:ascii="Arial" w:eastAsia="Arial" w:hAnsi="Arial" w:cs="Arial"/>
          <w:b/>
          <w:bCs/>
          <w:sz w:val="20"/>
          <w:szCs w:val="20"/>
        </w:rPr>
        <w:t>Requisito observado</w:t>
      </w:r>
    </w:p>
    <w:p w14:paraId="527A4D61"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Conjunto de especificaciones de la pantalla LED plegable. </w:t>
      </w:r>
    </w:p>
    <w:p w14:paraId="38F7697D"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w:t>
      </w:r>
    </w:p>
    <w:p w14:paraId="0696C5CB"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Si bien cada requisito puede resultar razonable de manera aislada, la combinación de especificaciones como </w:t>
      </w:r>
      <w:r>
        <w:rPr>
          <w:rFonts w:ascii="Arial" w:eastAsia="Arial" w:hAnsi="Arial" w:cs="Arial"/>
          <w:b/>
          <w:bCs/>
          <w:sz w:val="20"/>
          <w:szCs w:val="20"/>
        </w:rPr>
        <w:t>panel de tres cuerpos plegables, tecnología Flip Chip COB, Android integrado, conectividad específica y determinada arquitectura física</w:t>
      </w:r>
      <w:r>
        <w:rPr>
          <w:rFonts w:ascii="Arial" w:eastAsia="Arial" w:hAnsi="Arial" w:cs="Arial"/>
          <w:sz w:val="20"/>
          <w:szCs w:val="20"/>
        </w:rPr>
        <w:t xml:space="preserve"> reduce considerablemente el universo de fabricantes que pueden cumplir simultáneamente la totalidad de la ficha técnica.</w:t>
      </w:r>
    </w:p>
    <w:p w14:paraId="612EA701"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Al revisar la oferta disponible, se evidencia que fabricantes de amplia trayectoria como </w:t>
      </w:r>
      <w:r>
        <w:rPr>
          <w:rFonts w:ascii="Arial" w:eastAsia="Arial" w:hAnsi="Arial" w:cs="Arial"/>
          <w:b/>
          <w:bCs/>
          <w:sz w:val="20"/>
          <w:szCs w:val="20"/>
        </w:rPr>
        <w:t>Samsung, LG, Absen, Unilumin, Leyard, ViewSonic e Hikvision</w:t>
      </w:r>
      <w:r>
        <w:rPr>
          <w:rFonts w:ascii="Arial" w:eastAsia="Arial" w:hAnsi="Arial" w:cs="Arial"/>
          <w:sz w:val="20"/>
          <w:szCs w:val="20"/>
        </w:rPr>
        <w:t xml:space="preserve"> utilizan arquitecturas diferentes que ofrecen prestaciones equivalentes y cumplen el mismo propósito funcional.</w:t>
      </w:r>
    </w:p>
    <w:p w14:paraId="55C9BC49"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lastRenderedPageBreak/>
        <w:t>En aplicación de los principios de libre concurrencia y selección objetiva, se recomienda privilegiar las funcionalidades requeridas sobre configuraciones de diseño propias de determinados fabricantes.</w:t>
      </w:r>
    </w:p>
    <w:p w14:paraId="37491E14"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Solicitud</w:t>
      </w:r>
    </w:p>
    <w:p w14:paraId="0B13ABC7"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Solicitamos revisar integralmente la ficha técnica, permitiendo soluciones LED All-in-One equivalentes que garanticen el desempeño esperado sin restringir innecesariamente la participación de oferentes.</w:t>
      </w:r>
    </w:p>
    <w:p w14:paraId="0CB1A1DA"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RESPUESTA A OBSERVACIÓN:</w:t>
      </w:r>
    </w:p>
    <w:p w14:paraId="159AD049"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acepta parcialmente la observación. La Entidad precisa que varios de los elementos señalados por el observante como parte de la combinación cuestionada ya fueron objeto de flexibilización expresa en el curso del presente proceso, respecto de este mismo equipo (videowall/panel LED plegable de 136"): (i) la tecnología de panel Flip Chip COB fue ampliada para admitir tecnologías equivalentes (SMD con recubrimiento GOB, IMD, Micro LED u otras), sujeta a certificación de protección IP y vida útil, conforme a la respuesta a la observación correspondiente; y (ii) los requisitos de conectividad (Wi-Fi, Bluetooth, USB, RJ-45, HDMI) fueron igualmente ajustados para admitir versiones y estándares equivalentes o superiores, conforme a las respuestas ya dadas sobre cada uno de estos puntos.</w:t>
      </w:r>
    </w:p>
    <w:p w14:paraId="6F353AD0"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obstante lo anterior, la Entidad mantiene, la exigencia de la configuración constructiva de tres (3) paneles LED plegables, conforme a lo ya señalado en la respuesta a la observación específica sobre este punto, sin perjuicio de la verificación técnica y de mercado que allí se encuentra pendiente.</w:t>
      </w:r>
    </w:p>
    <w:p w14:paraId="681E238A" w14:textId="77777777" w:rsidR="00BE6367" w:rsidRDefault="00BE6367">
      <w:pPr>
        <w:spacing w:after="280"/>
        <w:jc w:val="both"/>
        <w:rPr>
          <w:rFonts w:ascii="Arial" w:eastAsia="Arial" w:hAnsi="Arial" w:cs="Arial"/>
          <w:sz w:val="20"/>
          <w:szCs w:val="20"/>
        </w:rPr>
      </w:pPr>
    </w:p>
    <w:p w14:paraId="67464736"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MONITOR PARA EQUIPOS DE CÓMPUTO</w:t>
      </w:r>
    </w:p>
    <w:p w14:paraId="0E26D9E8"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 No. 1 – Categoría Promoter en el Trusted Computing Group (TCG)</w:t>
      </w:r>
    </w:p>
    <w:p w14:paraId="0382535B" w14:textId="77777777" w:rsidR="00BE6367" w:rsidRDefault="00C90F6A">
      <w:pPr>
        <w:spacing w:after="280"/>
        <w:jc w:val="both"/>
        <w:rPr>
          <w:rFonts w:ascii="Arial" w:eastAsia="Arial" w:hAnsi="Arial" w:cs="Arial"/>
          <w:sz w:val="20"/>
          <w:szCs w:val="20"/>
        </w:rPr>
      </w:pPr>
      <w:r>
        <w:rPr>
          <w:rFonts w:ascii="Arial" w:eastAsia="Arial" w:hAnsi="Arial" w:cs="Arial"/>
          <w:b/>
          <w:bCs/>
          <w:sz w:val="20"/>
          <w:szCs w:val="20"/>
        </w:rPr>
        <w:t>Requisito observado</w:t>
      </w:r>
    </w:p>
    <w:p w14:paraId="39C474C5"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El fabricante debe contar con categoría Promoter en el Trusted Computing Group (TCG).</w:t>
      </w:r>
    </w:p>
    <w:p w14:paraId="40C07193"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w:t>
      </w:r>
    </w:p>
    <w:p w14:paraId="31D1DD3C"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La exigencia de que el fabricante pertenezca específicamente a la categoría </w:t>
      </w:r>
      <w:r>
        <w:rPr>
          <w:rFonts w:ascii="Arial" w:eastAsia="Arial" w:hAnsi="Arial" w:cs="Arial"/>
          <w:b/>
          <w:bCs/>
          <w:sz w:val="20"/>
          <w:szCs w:val="20"/>
        </w:rPr>
        <w:t>Promoter</w:t>
      </w:r>
      <w:r>
        <w:rPr>
          <w:rFonts w:ascii="Arial" w:eastAsia="Arial" w:hAnsi="Arial" w:cs="Arial"/>
          <w:sz w:val="20"/>
          <w:szCs w:val="20"/>
        </w:rPr>
        <w:t xml:space="preserve"> del Trusted Computing Group (TCG) no guarda relación con las características técnicas ni funcionales de un monitor. El TCG desarrolla estándares orientados principalmente a la seguridad de plataformas de cómputo, como TPM y mecanismos de protección del hardware, los cuales no constituyen un criterio determinante para evaluar el desempeño o la calidad de un monitor.</w:t>
      </w:r>
    </w:p>
    <w:p w14:paraId="5B210F8D"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Esta condición puede restringir la participación de fabricantes ampliamente reconocidos en el segmento de monitores corporativos, como </w:t>
      </w:r>
      <w:r>
        <w:rPr>
          <w:rFonts w:ascii="Arial" w:eastAsia="Arial" w:hAnsi="Arial" w:cs="Arial"/>
          <w:b/>
          <w:bCs/>
          <w:sz w:val="20"/>
          <w:szCs w:val="20"/>
        </w:rPr>
        <w:t>LG, Samsung, ViewSonic, BenQ, Philips, AOC y MSI</w:t>
      </w:r>
      <w:r>
        <w:rPr>
          <w:rFonts w:ascii="Arial" w:eastAsia="Arial" w:hAnsi="Arial" w:cs="Arial"/>
          <w:sz w:val="20"/>
          <w:szCs w:val="20"/>
        </w:rPr>
        <w:t>, cuyos productos cumplen con altos estándares de calidad y desempeño, sin que la categoría de membresía del fabricante en el TCG tenga incidencia alguna sobre el funcionamiento del monitor.</w:t>
      </w:r>
    </w:p>
    <w:p w14:paraId="1E5E7C60"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Solicitud</w:t>
      </w:r>
    </w:p>
    <w:p w14:paraId="29D634C9"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lastRenderedPageBreak/>
        <w:t>Solicitamos eliminar este requisito o reemplazarlo por certificaciones o estándares aplicables directamente al monitor ofertado.</w:t>
      </w:r>
    </w:p>
    <w:p w14:paraId="19B3C88E"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RESPUESTA A OBSERVACIÓN</w:t>
      </w:r>
      <w:r>
        <w:rPr>
          <w:rFonts w:ascii="Arial" w:eastAsia="Arial" w:hAnsi="Arial" w:cs="Arial"/>
          <w:sz w:val="20"/>
          <w:szCs w:val="20"/>
        </w:rPr>
        <w:t>:</w:t>
      </w:r>
      <w:r>
        <w:rPr>
          <w:rFonts w:ascii="Arial" w:eastAsia="Arial" w:hAnsi="Arial" w:cs="Arial"/>
          <w:b/>
          <w:bCs/>
          <w:sz w:val="20"/>
          <w:szCs w:val="20"/>
        </w:rPr>
        <w:t xml:space="preserve"> </w:t>
      </w:r>
    </w:p>
    <w:p w14:paraId="2121B8A5"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No se acepta la observación. Los requisitos técnicos y de certificación establecidos constituyen los mínimos necesarios para garantizar la seguridad, confiabilidad y desempeño de los equipos ofertados. La exigencia de que el fabricante sea miembro activo del </w:t>
      </w:r>
      <w:r>
        <w:rPr>
          <w:rFonts w:ascii="Arial" w:eastAsia="Arial" w:hAnsi="Arial" w:cs="Arial"/>
          <w:b/>
          <w:bCs/>
          <w:sz w:val="20"/>
          <w:szCs w:val="20"/>
        </w:rPr>
        <w:t>Trusted Computing Group (TCG)</w:t>
      </w:r>
      <w:r>
        <w:rPr>
          <w:rFonts w:ascii="Arial" w:eastAsia="Arial" w:hAnsi="Arial" w:cs="Arial"/>
          <w:sz w:val="20"/>
          <w:szCs w:val="20"/>
        </w:rPr>
        <w:t xml:space="preserve"> en la categoría </w:t>
      </w:r>
      <w:r>
        <w:rPr>
          <w:rFonts w:ascii="Arial" w:eastAsia="Arial" w:hAnsi="Arial" w:cs="Arial"/>
          <w:b/>
          <w:bCs/>
          <w:sz w:val="20"/>
          <w:szCs w:val="20"/>
        </w:rPr>
        <w:t>Promoter</w:t>
      </w:r>
      <w:r>
        <w:rPr>
          <w:rFonts w:ascii="Arial" w:eastAsia="Arial" w:hAnsi="Arial" w:cs="Arial"/>
          <w:sz w:val="20"/>
          <w:szCs w:val="20"/>
        </w:rPr>
        <w:t xml:space="preserve"> responde a la necesidad de asegurar que los equipos y periféricos (incluidos teclados y mouse) provengan de fabricantes con participación plena y verificable en el desarrollo de los estándares internacionales de seguridad para plataformas de cómputo.</w:t>
      </w:r>
    </w:p>
    <w:p w14:paraId="25B5493E"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Este requisito busca garantizar que los periféricos ofertados sean </w:t>
      </w:r>
      <w:r>
        <w:rPr>
          <w:rFonts w:ascii="Arial" w:eastAsia="Arial" w:hAnsi="Arial" w:cs="Arial"/>
          <w:b/>
          <w:bCs/>
          <w:sz w:val="20"/>
          <w:szCs w:val="20"/>
        </w:rPr>
        <w:t>totalmente compatibles con los equipos principales bajo los mismos parámetros de fabricantes</w:t>
      </w:r>
      <w:r>
        <w:rPr>
          <w:rFonts w:ascii="Arial" w:eastAsia="Arial" w:hAnsi="Arial" w:cs="Arial"/>
          <w:sz w:val="20"/>
          <w:szCs w:val="20"/>
        </w:rPr>
        <w:t>, asegurando uniformidad, interoperabilidad y cumplimiento de las especificaciones técnicas exigidas en el pliego.</w:t>
      </w:r>
    </w:p>
    <w:p w14:paraId="36C784F3"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En consecuencia, únicamente se aceptarán equipos y periféricos cuyos fabricantes acrediten la membresía en la categoría </w:t>
      </w:r>
      <w:r>
        <w:rPr>
          <w:rFonts w:ascii="Arial" w:eastAsia="Arial" w:hAnsi="Arial" w:cs="Arial"/>
          <w:b/>
          <w:bCs/>
          <w:sz w:val="20"/>
          <w:szCs w:val="20"/>
        </w:rPr>
        <w:t>Promoter</w:t>
      </w:r>
      <w:r>
        <w:rPr>
          <w:rFonts w:ascii="Arial" w:eastAsia="Arial" w:hAnsi="Arial" w:cs="Arial"/>
          <w:sz w:val="20"/>
          <w:szCs w:val="20"/>
        </w:rPr>
        <w:t xml:space="preserve"> o superior, condición verificable en el sitio web oficial de </w:t>
      </w:r>
      <w:r>
        <w:rPr>
          <w:rFonts w:ascii="Arial" w:eastAsia="Arial" w:hAnsi="Arial" w:cs="Arial"/>
          <w:b/>
          <w:bCs/>
          <w:sz w:val="20"/>
          <w:szCs w:val="20"/>
        </w:rPr>
        <w:t>Trusted Computing Group</w:t>
      </w:r>
      <w:r>
        <w:rPr>
          <w:rFonts w:ascii="Arial" w:eastAsia="Arial" w:hAnsi="Arial" w:cs="Arial"/>
          <w:sz w:val="20"/>
          <w:szCs w:val="20"/>
        </w:rPr>
        <w:t>. Se aclara además que existe pluralidad de marcas en el mercado que cumplen con este requisito, lo que garantiza la libre concurrencia y la selección objetiva dentro del proceso.</w:t>
      </w:r>
    </w:p>
    <w:p w14:paraId="1F442550" w14:textId="77777777" w:rsidR="00BE6367" w:rsidRDefault="00000000">
      <w:pPr>
        <w:jc w:val="both"/>
        <w:rPr>
          <w:rFonts w:ascii="Arial" w:eastAsia="Arial" w:hAnsi="Arial" w:cs="Arial"/>
          <w:sz w:val="20"/>
          <w:szCs w:val="20"/>
        </w:rPr>
      </w:pPr>
      <w:r>
        <w:pict w14:anchorId="3D6D3AB1">
          <v:rect id="_x0000_i1099" style="width:0;height:1.5pt" o:hralign="center" o:hrstd="t" o:hr="t" fillcolor="#a0a0a0" stroked="f"/>
        </w:pict>
      </w:r>
    </w:p>
    <w:p w14:paraId="14582909"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 No. 2 – Puerto VGA obligatorio</w:t>
      </w:r>
    </w:p>
    <w:p w14:paraId="152AEFE0" w14:textId="77777777" w:rsidR="00BE6367" w:rsidRDefault="00C90F6A">
      <w:pPr>
        <w:spacing w:after="280"/>
        <w:jc w:val="both"/>
        <w:rPr>
          <w:rFonts w:ascii="Arial" w:eastAsia="Arial" w:hAnsi="Arial" w:cs="Arial"/>
          <w:sz w:val="20"/>
          <w:szCs w:val="20"/>
        </w:rPr>
      </w:pPr>
      <w:r>
        <w:rPr>
          <w:rFonts w:ascii="Arial" w:eastAsia="Arial" w:hAnsi="Arial" w:cs="Arial"/>
          <w:b/>
          <w:bCs/>
          <w:sz w:val="20"/>
          <w:szCs w:val="20"/>
        </w:rPr>
        <w:t>Requisito observado</w:t>
      </w:r>
    </w:p>
    <w:p w14:paraId="2B41214B"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Conectividad mínima: 1 HDMI y 1 puerto VGA.</w:t>
      </w:r>
    </w:p>
    <w:p w14:paraId="7CA70792"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w:t>
      </w:r>
    </w:p>
    <w:p w14:paraId="2EDA5743"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Si bien la inclusión de un puerto VGA no limita por sí sola la participación, es importante considerar que el mercado de monitores corporativos ha migrado progresivamente hacia interfaces digitales como </w:t>
      </w:r>
      <w:r>
        <w:rPr>
          <w:rFonts w:ascii="Arial" w:eastAsia="Arial" w:hAnsi="Arial" w:cs="Arial"/>
          <w:b/>
          <w:bCs/>
          <w:sz w:val="20"/>
          <w:szCs w:val="20"/>
        </w:rPr>
        <w:t>DisplayPort, HDMI y USB-C</w:t>
      </w:r>
      <w:r>
        <w:rPr>
          <w:rFonts w:ascii="Arial" w:eastAsia="Arial" w:hAnsi="Arial" w:cs="Arial"/>
          <w:sz w:val="20"/>
          <w:szCs w:val="20"/>
        </w:rPr>
        <w:t>, las cuales ofrecen mejor calidad de imagen, mayor ancho de banda y mayor compatibilidad con equipos de última generación.</w:t>
      </w:r>
    </w:p>
    <w:p w14:paraId="09527C7C"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Fabricantes como </w:t>
      </w:r>
      <w:r>
        <w:rPr>
          <w:rFonts w:ascii="Arial" w:eastAsia="Arial" w:hAnsi="Arial" w:cs="Arial"/>
          <w:b/>
          <w:bCs/>
          <w:sz w:val="20"/>
          <w:szCs w:val="20"/>
        </w:rPr>
        <w:t>Dell, HP, Lenovo, Samsung, LG, ViewSonic y BenQ</w:t>
      </w:r>
      <w:r>
        <w:rPr>
          <w:rFonts w:ascii="Arial" w:eastAsia="Arial" w:hAnsi="Arial" w:cs="Arial"/>
          <w:sz w:val="20"/>
          <w:szCs w:val="20"/>
        </w:rPr>
        <w:t xml:space="preserve"> han eliminado el puerto VGA en varias de sus líneas empresariales, privilegiando tecnologías digitales sin afectar la funcionalidad del producto.</w:t>
      </w:r>
    </w:p>
    <w:p w14:paraId="3C7E5E0A"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Mantener la obligatoriedad del puerto VGA podría restringir la participación de modelos recientes que cumplen plenamente con las necesidades funcionales de la Entidad.</w:t>
      </w:r>
    </w:p>
    <w:p w14:paraId="56EA79ED"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Solicitud</w:t>
      </w:r>
    </w:p>
    <w:p w14:paraId="7C546032"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Solicitamos permitir que el puerto VGA pueda ser reemplazado por </w:t>
      </w:r>
      <w:r>
        <w:rPr>
          <w:rFonts w:ascii="Arial" w:eastAsia="Arial" w:hAnsi="Arial" w:cs="Arial"/>
          <w:b/>
          <w:bCs/>
          <w:sz w:val="20"/>
          <w:szCs w:val="20"/>
        </w:rPr>
        <w:t>DisplayPort o USB-C</w:t>
      </w:r>
      <w:r>
        <w:rPr>
          <w:rFonts w:ascii="Arial" w:eastAsia="Arial" w:hAnsi="Arial" w:cs="Arial"/>
          <w:sz w:val="20"/>
          <w:szCs w:val="20"/>
        </w:rPr>
        <w:t>, siempre que se garantice la conectividad con los equipos ofertados.</w:t>
      </w:r>
    </w:p>
    <w:p w14:paraId="4BFB5BF8" w14:textId="77777777" w:rsidR="00BE6367" w:rsidRDefault="00C90F6A">
      <w:pPr>
        <w:spacing w:after="280"/>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0504120A"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lastRenderedPageBreak/>
        <w:t>Se acepta parcialmente la observación y, en consecuencia, se modifica el requerimiento estableciendo que el puerto VGA será de carácter opcional en los monitores destinados a equipos de PC. Esto se define teniendo en cuenta que actualmente las plataformas corporativas utilizan principalmente conexiones HDMI, y que existe disponibilidad en el mercado de diferentes fabricantes que aún ofrecen equipos con este tipo de puerto.</w:t>
      </w:r>
    </w:p>
    <w:p w14:paraId="0834AE0D" w14:textId="77777777" w:rsidR="00BE6367" w:rsidRDefault="00000000">
      <w:pPr>
        <w:jc w:val="both"/>
        <w:rPr>
          <w:rFonts w:ascii="Arial" w:eastAsia="Arial" w:hAnsi="Arial" w:cs="Arial"/>
          <w:sz w:val="20"/>
          <w:szCs w:val="20"/>
        </w:rPr>
      </w:pPr>
      <w:r>
        <w:pict w14:anchorId="227178F6">
          <v:rect id="_x0000_i1100" style="width:0;height:1.5pt" o:hralign="center" o:hrstd="t" o:hr="t" fillcolor="#a0a0a0" stroked="f"/>
        </w:pict>
      </w:r>
    </w:p>
    <w:p w14:paraId="6805E6D6"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 No. 3 – Frecuencia de actualización mínima de 80 Hz</w:t>
      </w:r>
    </w:p>
    <w:p w14:paraId="45758FD6" w14:textId="77777777" w:rsidR="00BE6367" w:rsidRDefault="00C90F6A">
      <w:pPr>
        <w:spacing w:after="280"/>
        <w:jc w:val="both"/>
        <w:rPr>
          <w:rFonts w:ascii="Arial" w:eastAsia="Arial" w:hAnsi="Arial" w:cs="Arial"/>
          <w:sz w:val="20"/>
          <w:szCs w:val="20"/>
        </w:rPr>
      </w:pPr>
      <w:r>
        <w:rPr>
          <w:rFonts w:ascii="Arial" w:eastAsia="Arial" w:hAnsi="Arial" w:cs="Arial"/>
          <w:b/>
          <w:bCs/>
          <w:sz w:val="20"/>
          <w:szCs w:val="20"/>
        </w:rPr>
        <w:t>Requisito observado</w:t>
      </w:r>
    </w:p>
    <w:p w14:paraId="4A1BD464"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Frecuencia de actualización mínima de 80 Hz.</w:t>
      </w:r>
    </w:p>
    <w:p w14:paraId="28AFDD64"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w:t>
      </w:r>
    </w:p>
    <w:p w14:paraId="7DCD0FBA"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La frecuencia de actualización de </w:t>
      </w:r>
      <w:r>
        <w:rPr>
          <w:rFonts w:ascii="Arial" w:eastAsia="Arial" w:hAnsi="Arial" w:cs="Arial"/>
          <w:b/>
          <w:bCs/>
          <w:sz w:val="20"/>
          <w:szCs w:val="20"/>
        </w:rPr>
        <w:t>80 Hz</w:t>
      </w:r>
      <w:r>
        <w:rPr>
          <w:rFonts w:ascii="Arial" w:eastAsia="Arial" w:hAnsi="Arial" w:cs="Arial"/>
          <w:sz w:val="20"/>
          <w:szCs w:val="20"/>
        </w:rPr>
        <w:t xml:space="preserve"> no corresponde a uno de los estándares más comunes del mercado para monitores corporativos. Actualmente, los fabricantes ofrecen principalmente equipos de </w:t>
      </w:r>
      <w:r>
        <w:rPr>
          <w:rFonts w:ascii="Arial" w:eastAsia="Arial" w:hAnsi="Arial" w:cs="Arial"/>
          <w:b/>
          <w:bCs/>
          <w:sz w:val="20"/>
          <w:szCs w:val="20"/>
        </w:rPr>
        <w:t>60 Hz, 75 Hz, 100 Hz o superiores</w:t>
      </w:r>
      <w:r>
        <w:rPr>
          <w:rFonts w:ascii="Arial" w:eastAsia="Arial" w:hAnsi="Arial" w:cs="Arial"/>
          <w:sz w:val="20"/>
          <w:szCs w:val="20"/>
        </w:rPr>
        <w:t xml:space="preserve">, siendo </w:t>
      </w:r>
      <w:r>
        <w:rPr>
          <w:rFonts w:ascii="Arial" w:eastAsia="Arial" w:hAnsi="Arial" w:cs="Arial"/>
          <w:b/>
          <w:bCs/>
          <w:sz w:val="20"/>
          <w:szCs w:val="20"/>
        </w:rPr>
        <w:t>75 Hz</w:t>
      </w:r>
      <w:r>
        <w:rPr>
          <w:rFonts w:ascii="Arial" w:eastAsia="Arial" w:hAnsi="Arial" w:cs="Arial"/>
          <w:sz w:val="20"/>
          <w:szCs w:val="20"/>
        </w:rPr>
        <w:t xml:space="preserve"> una especificación ampliamente adoptada en soluciones empresariales y suficiente para aplicaciones de productividad, navegación y uso administrativo.</w:t>
      </w:r>
    </w:p>
    <w:p w14:paraId="3EE160EF"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Exigir un mínimo de 80 Hz puede excluir referencias corporativas ampliamente comercializadas, sin que exista una justificación técnica que demuestre una mejora proporcional para el uso previsto por la Entidad.</w:t>
      </w:r>
    </w:p>
    <w:p w14:paraId="67508F28"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Solicitud</w:t>
      </w:r>
    </w:p>
    <w:p w14:paraId="1890E5AC"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Solicitamos permitir monitores con frecuencia de actualización de </w:t>
      </w:r>
      <w:r>
        <w:rPr>
          <w:rFonts w:ascii="Arial" w:eastAsia="Arial" w:hAnsi="Arial" w:cs="Arial"/>
          <w:b/>
          <w:bCs/>
          <w:sz w:val="20"/>
          <w:szCs w:val="20"/>
        </w:rPr>
        <w:t>75 Hz o superior</w:t>
      </w:r>
      <w:r>
        <w:rPr>
          <w:rFonts w:ascii="Arial" w:eastAsia="Arial" w:hAnsi="Arial" w:cs="Arial"/>
          <w:sz w:val="20"/>
          <w:szCs w:val="20"/>
        </w:rPr>
        <w:t>, garantizando así una mayor pluralidad de oferentes sin afectar el desempeño requerido.</w:t>
      </w:r>
    </w:p>
    <w:p w14:paraId="09C7BFCB"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4F158D16"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No se acoge la observación. La exigencia de una frecuencia de actualización mínima de </w:t>
      </w:r>
      <w:r>
        <w:rPr>
          <w:rFonts w:ascii="Arial" w:eastAsia="Arial" w:hAnsi="Arial" w:cs="Arial"/>
          <w:b/>
          <w:bCs/>
          <w:sz w:val="20"/>
          <w:szCs w:val="20"/>
        </w:rPr>
        <w:t>80 Hz</w:t>
      </w:r>
      <w:r>
        <w:rPr>
          <w:rFonts w:ascii="Arial" w:eastAsia="Arial" w:hAnsi="Arial" w:cs="Arial"/>
          <w:sz w:val="20"/>
          <w:szCs w:val="20"/>
        </w:rPr>
        <w:t xml:space="preserve"> corresponde a los parámetros definidos en la ficha técnica como requisito indispensable para garantizar el nivel de desempeño requerido por la Entidad. Este valor se establece como estándar mínimo, por lo cual se aceptarán equipos con frecuencias superiores, incluyendo aquellas referencias que actualmente ofrecen 100 Hz o superior, siempre que cumplan con dicho umbral.</w:t>
      </w:r>
    </w:p>
    <w:p w14:paraId="08D263A1"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Si bien en el mercado existen equipos con frecuencias de 60 Hz, 75 Hz o 100Hz, la definición de 80 Hz como mínimo busca asegurar que los bienes suministrados cuenten con una alta fluidez gráfica, reducción de fatiga visual y vigencia tecnológica, en beneficio de las labores de los usuarios. La posibilidad de presentar equipos con especificaciones superiores garantiza pluralidad de oferentes, sin que ello implique la reducción del parámetro mínimo establecido.</w:t>
      </w:r>
    </w:p>
    <w:p w14:paraId="0A44DAC7"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En consecuencia, se mantiene la exigencia de 80 Hz como requisito mínimo, aceptando configuraciones superiores, en los términos definidos en la ficha técnica.</w:t>
      </w:r>
    </w:p>
    <w:p w14:paraId="0E89BC1E" w14:textId="77777777" w:rsidR="00BE6367" w:rsidRDefault="00000000">
      <w:pPr>
        <w:jc w:val="both"/>
        <w:rPr>
          <w:rFonts w:ascii="Arial" w:eastAsia="Arial" w:hAnsi="Arial" w:cs="Arial"/>
          <w:sz w:val="20"/>
          <w:szCs w:val="20"/>
        </w:rPr>
      </w:pPr>
      <w:r>
        <w:pict w14:anchorId="763A34FA">
          <v:rect id="_x0000_i1101" style="width:0;height:1.5pt" o:hralign="center" o:hrstd="t" o:hr="t" fillcolor="#a0a0a0" stroked="f"/>
        </w:pict>
      </w:r>
    </w:p>
    <w:p w14:paraId="55028ABD"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 No. 4 – Combinación de especificaciones que limita la pluralidad de oferentes</w:t>
      </w:r>
    </w:p>
    <w:p w14:paraId="5D914535" w14:textId="77777777" w:rsidR="00BE6367" w:rsidRDefault="00C90F6A">
      <w:pPr>
        <w:spacing w:after="280"/>
        <w:jc w:val="both"/>
        <w:rPr>
          <w:rFonts w:ascii="Arial" w:eastAsia="Arial" w:hAnsi="Arial" w:cs="Arial"/>
          <w:sz w:val="20"/>
          <w:szCs w:val="20"/>
        </w:rPr>
      </w:pPr>
      <w:r>
        <w:rPr>
          <w:rFonts w:ascii="Arial" w:eastAsia="Arial" w:hAnsi="Arial" w:cs="Arial"/>
          <w:b/>
          <w:bCs/>
          <w:sz w:val="20"/>
          <w:szCs w:val="20"/>
        </w:rPr>
        <w:lastRenderedPageBreak/>
        <w:t>Requisito observado</w:t>
      </w:r>
    </w:p>
    <w:p w14:paraId="2918E636"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Conjunto de especificaciones técnicas del monitor.</w:t>
      </w:r>
    </w:p>
    <w:p w14:paraId="3B4464EF"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Observación</w:t>
      </w:r>
    </w:p>
    <w:p w14:paraId="49E0EAF5"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Si bien varios de los requisitos considerados individualmente pueden resultar razonables, la combinación de exigencias como la pertenencia del fabricante a la categoría </w:t>
      </w:r>
      <w:r>
        <w:rPr>
          <w:rFonts w:ascii="Arial" w:eastAsia="Arial" w:hAnsi="Arial" w:cs="Arial"/>
          <w:b/>
          <w:bCs/>
          <w:sz w:val="20"/>
          <w:szCs w:val="20"/>
        </w:rPr>
        <w:t>Promoter del TCG</w:t>
      </w:r>
      <w:r>
        <w:rPr>
          <w:rFonts w:ascii="Arial" w:eastAsia="Arial" w:hAnsi="Arial" w:cs="Arial"/>
          <w:sz w:val="20"/>
          <w:szCs w:val="20"/>
        </w:rPr>
        <w:t xml:space="preserve">, la obligatoriedad de incorporar un </w:t>
      </w:r>
      <w:r>
        <w:rPr>
          <w:rFonts w:ascii="Arial" w:eastAsia="Arial" w:hAnsi="Arial" w:cs="Arial"/>
          <w:b/>
          <w:bCs/>
          <w:sz w:val="20"/>
          <w:szCs w:val="20"/>
        </w:rPr>
        <w:t>puerto VGA</w:t>
      </w:r>
      <w:r>
        <w:rPr>
          <w:rFonts w:ascii="Arial" w:eastAsia="Arial" w:hAnsi="Arial" w:cs="Arial"/>
          <w:sz w:val="20"/>
          <w:szCs w:val="20"/>
        </w:rPr>
        <w:t xml:space="preserve"> y una </w:t>
      </w:r>
      <w:r>
        <w:rPr>
          <w:rFonts w:ascii="Arial" w:eastAsia="Arial" w:hAnsi="Arial" w:cs="Arial"/>
          <w:b/>
          <w:bCs/>
          <w:sz w:val="20"/>
          <w:szCs w:val="20"/>
        </w:rPr>
        <w:t>frecuencia mínima de actualización de 80 Hz</w:t>
      </w:r>
      <w:r>
        <w:rPr>
          <w:rFonts w:ascii="Arial" w:eastAsia="Arial" w:hAnsi="Arial" w:cs="Arial"/>
          <w:sz w:val="20"/>
          <w:szCs w:val="20"/>
        </w:rPr>
        <w:t xml:space="preserve"> reduce el número de referencias disponibles en el mercado que pueden cumplir simultáneamente la totalidad de la ficha técnica.</w:t>
      </w:r>
    </w:p>
    <w:p w14:paraId="54A29371"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Fabricantes de amplia trayectoria como </w:t>
      </w:r>
      <w:r>
        <w:rPr>
          <w:rFonts w:ascii="Arial" w:eastAsia="Arial" w:hAnsi="Arial" w:cs="Arial"/>
          <w:b/>
          <w:bCs/>
          <w:sz w:val="20"/>
          <w:szCs w:val="20"/>
        </w:rPr>
        <w:t>Dell, HP, Lenovo, LG, Samsung, Philips, ViewSonic, BenQ y AOC</w:t>
      </w:r>
      <w:r>
        <w:rPr>
          <w:rFonts w:ascii="Arial" w:eastAsia="Arial" w:hAnsi="Arial" w:cs="Arial"/>
          <w:sz w:val="20"/>
          <w:szCs w:val="20"/>
        </w:rPr>
        <w:t xml:space="preserve"> cuentan con monitores empresariales que satisfacen plenamente las necesidades funcionales de la Entidad, pero podrían verse limitados por uno o más de estos requisitos específicos, sin que ello represente una diferencia significativa en desempeño o calidad.</w:t>
      </w:r>
    </w:p>
    <w:p w14:paraId="7BFF391A"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 xml:space="preserve">En aplicación de los principios de </w:t>
      </w:r>
      <w:r>
        <w:rPr>
          <w:rFonts w:ascii="Arial" w:eastAsia="Arial" w:hAnsi="Arial" w:cs="Arial"/>
          <w:b/>
          <w:bCs/>
          <w:sz w:val="20"/>
          <w:szCs w:val="20"/>
        </w:rPr>
        <w:t>libre concurrencia, selección objetiva y pluralidad de oferentes</w:t>
      </w:r>
      <w:r>
        <w:rPr>
          <w:rFonts w:ascii="Arial" w:eastAsia="Arial" w:hAnsi="Arial" w:cs="Arial"/>
          <w:sz w:val="20"/>
          <w:szCs w:val="20"/>
        </w:rPr>
        <w:t>, se considera conveniente privilegiar requisitos funcionales y de desempeño sobre condiciones particulares que no resultan indispensables para el cumplimiento del objeto contractual.</w:t>
      </w:r>
    </w:p>
    <w:p w14:paraId="093E9F99"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Solicitud</w:t>
      </w:r>
    </w:p>
    <w:p w14:paraId="427D5B84"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Solicitamos revisar integralmente la ficha técnica y permitir especificaciones equivalentes que amplíen la participación de fabricantes, garantizando el cumplimiento de las necesidades de la Entidad sin restringir injustificadamente la competencia.</w:t>
      </w:r>
    </w:p>
    <w:p w14:paraId="5E2CB3DD" w14:textId="77777777" w:rsidR="00BE6367" w:rsidRDefault="00BE6367">
      <w:pPr>
        <w:spacing w:after="280"/>
        <w:jc w:val="both"/>
        <w:rPr>
          <w:rFonts w:ascii="Arial" w:eastAsia="Arial" w:hAnsi="Arial" w:cs="Arial"/>
          <w:sz w:val="20"/>
          <w:szCs w:val="20"/>
        </w:rPr>
      </w:pPr>
    </w:p>
    <w:p w14:paraId="73FD081D"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4D2D30C7" w14:textId="77777777" w:rsidR="00BE6367" w:rsidRDefault="00C90F6A">
      <w:pPr>
        <w:jc w:val="both"/>
        <w:rPr>
          <w:rFonts w:ascii="Arial" w:eastAsia="Arial" w:hAnsi="Arial" w:cs="Arial"/>
          <w:sz w:val="20"/>
          <w:szCs w:val="20"/>
        </w:rPr>
      </w:pPr>
      <w:r>
        <w:rPr>
          <w:rFonts w:ascii="Arial" w:eastAsia="Arial" w:hAnsi="Arial" w:cs="Arial"/>
          <w:sz w:val="20"/>
          <w:szCs w:val="20"/>
        </w:rPr>
        <w:t>No se acepta la observación. Los requisitos técnicos y de certificación establecidos en la ficha técnica constituyen los mínimos necesarios para garantizar la seguridad, compatibilidad y desempeño de los equipos ofertados. La combinación de exigencias responde a la necesidad de asegurar que los equipos cumplan plenamente con las condiciones técnicas requeridas por la Entidad y sean compatibles con el entorno operativo definido.</w:t>
      </w:r>
    </w:p>
    <w:p w14:paraId="59B52007" w14:textId="77777777" w:rsidR="00BE6367" w:rsidRDefault="00C90F6A">
      <w:pPr>
        <w:spacing w:after="280"/>
        <w:jc w:val="both"/>
        <w:rPr>
          <w:rFonts w:ascii="Arial" w:eastAsia="Arial" w:hAnsi="Arial" w:cs="Arial"/>
          <w:sz w:val="20"/>
          <w:szCs w:val="20"/>
        </w:rPr>
      </w:pPr>
      <w:r>
        <w:rPr>
          <w:rFonts w:ascii="Arial" w:eastAsia="Arial" w:hAnsi="Arial" w:cs="Arial"/>
          <w:sz w:val="20"/>
          <w:szCs w:val="20"/>
        </w:rPr>
        <w:t>Se aclara además que existe pluralidad de fabricantes en el mercado que cumplen con estos parámetros, lo que garantiza la libre concurrencia y la selección objetiva dentro del proceso.</w:t>
      </w:r>
    </w:p>
    <w:p w14:paraId="149A8F4D" w14:textId="77777777" w:rsidR="00BE6367" w:rsidRDefault="00C90F6A">
      <w:pPr>
        <w:spacing w:before="280" w:after="280"/>
        <w:jc w:val="both"/>
        <w:rPr>
          <w:rFonts w:ascii="Arial" w:eastAsia="Arial" w:hAnsi="Arial" w:cs="Arial"/>
          <w:b/>
          <w:bCs/>
          <w:sz w:val="20"/>
          <w:szCs w:val="20"/>
        </w:rPr>
      </w:pPr>
      <w:r>
        <w:rPr>
          <w:rFonts w:ascii="Arial" w:eastAsia="Arial" w:hAnsi="Arial" w:cs="Arial"/>
          <w:b/>
          <w:bCs/>
          <w:sz w:val="20"/>
          <w:szCs w:val="20"/>
        </w:rPr>
        <w:t>TECLADO USB</w:t>
      </w:r>
    </w:p>
    <w:p w14:paraId="08783FE3" w14:textId="77777777" w:rsidR="00BE6367" w:rsidRDefault="00C90F6A">
      <w:pPr>
        <w:spacing w:before="280" w:after="280"/>
        <w:jc w:val="both"/>
        <w:rPr>
          <w:rFonts w:ascii="Arial" w:eastAsia="Arial" w:hAnsi="Arial" w:cs="Arial"/>
          <w:b/>
          <w:bCs/>
          <w:sz w:val="20"/>
          <w:szCs w:val="20"/>
        </w:rPr>
      </w:pPr>
      <w:r>
        <w:rPr>
          <w:rFonts w:ascii="Arial" w:eastAsia="Arial" w:hAnsi="Arial" w:cs="Arial"/>
          <w:b/>
          <w:bCs/>
          <w:sz w:val="20"/>
          <w:szCs w:val="20"/>
        </w:rPr>
        <w:t>Observación No. 1 – Categoría Promoter en el Trusted Computing Group (TCG)</w:t>
      </w:r>
    </w:p>
    <w:p w14:paraId="0837A2D0" w14:textId="77777777" w:rsidR="00BE6367" w:rsidRDefault="00C90F6A">
      <w:pPr>
        <w:spacing w:before="280" w:after="280"/>
        <w:jc w:val="both"/>
        <w:rPr>
          <w:rFonts w:ascii="Arial" w:eastAsia="Arial" w:hAnsi="Arial" w:cs="Arial"/>
          <w:sz w:val="20"/>
          <w:szCs w:val="20"/>
        </w:rPr>
      </w:pPr>
      <w:r>
        <w:rPr>
          <w:rFonts w:ascii="Arial" w:eastAsia="Arial" w:hAnsi="Arial" w:cs="Arial"/>
          <w:b/>
          <w:bCs/>
          <w:sz w:val="20"/>
          <w:szCs w:val="20"/>
        </w:rPr>
        <w:t>Requisito observado</w:t>
      </w:r>
    </w:p>
    <w:p w14:paraId="596DB3A4" w14:textId="77777777" w:rsidR="00BE6367" w:rsidRDefault="00C90F6A">
      <w:pPr>
        <w:spacing w:before="280" w:after="280"/>
        <w:jc w:val="both"/>
        <w:rPr>
          <w:rFonts w:ascii="Arial" w:eastAsia="Arial" w:hAnsi="Arial" w:cs="Arial"/>
          <w:sz w:val="20"/>
          <w:szCs w:val="20"/>
        </w:rPr>
      </w:pPr>
      <w:r>
        <w:rPr>
          <w:rFonts w:ascii="Arial" w:eastAsia="Arial" w:hAnsi="Arial" w:cs="Arial"/>
          <w:sz w:val="20"/>
          <w:szCs w:val="20"/>
        </w:rPr>
        <w:t>El fabricante debe contar con categoría Promoter en el Trusted Computing Group (TCG).</w:t>
      </w:r>
    </w:p>
    <w:p w14:paraId="60918F9D" w14:textId="77777777" w:rsidR="00BE6367" w:rsidRDefault="00C90F6A">
      <w:pPr>
        <w:spacing w:before="280" w:after="280"/>
        <w:jc w:val="both"/>
        <w:rPr>
          <w:rFonts w:ascii="Arial" w:eastAsia="Arial" w:hAnsi="Arial" w:cs="Arial"/>
          <w:b/>
          <w:bCs/>
          <w:sz w:val="20"/>
          <w:szCs w:val="20"/>
        </w:rPr>
      </w:pPr>
      <w:r>
        <w:rPr>
          <w:rFonts w:ascii="Arial" w:eastAsia="Arial" w:hAnsi="Arial" w:cs="Arial"/>
          <w:b/>
          <w:bCs/>
          <w:sz w:val="20"/>
          <w:szCs w:val="20"/>
        </w:rPr>
        <w:t>Observación</w:t>
      </w:r>
    </w:p>
    <w:p w14:paraId="4B3F6F99" w14:textId="77777777" w:rsidR="00BE6367" w:rsidRDefault="00C90F6A">
      <w:pPr>
        <w:spacing w:before="280" w:after="280"/>
        <w:jc w:val="both"/>
        <w:rPr>
          <w:rFonts w:ascii="Arial" w:eastAsia="Arial" w:hAnsi="Arial" w:cs="Arial"/>
          <w:sz w:val="20"/>
          <w:szCs w:val="20"/>
        </w:rPr>
      </w:pPr>
      <w:r>
        <w:rPr>
          <w:rFonts w:ascii="Arial" w:eastAsia="Arial" w:hAnsi="Arial" w:cs="Arial"/>
          <w:sz w:val="20"/>
          <w:szCs w:val="20"/>
        </w:rPr>
        <w:lastRenderedPageBreak/>
        <w:t xml:space="preserve">La exigencia de que el fabricante pertenezca específicamente a la categoría </w:t>
      </w:r>
      <w:r>
        <w:rPr>
          <w:rFonts w:ascii="Arial" w:eastAsia="Arial" w:hAnsi="Arial" w:cs="Arial"/>
          <w:b/>
          <w:bCs/>
          <w:sz w:val="20"/>
          <w:szCs w:val="20"/>
        </w:rPr>
        <w:t>Promoter</w:t>
      </w:r>
      <w:r>
        <w:rPr>
          <w:rFonts w:ascii="Arial" w:eastAsia="Arial" w:hAnsi="Arial" w:cs="Arial"/>
          <w:sz w:val="20"/>
          <w:szCs w:val="20"/>
        </w:rPr>
        <w:t xml:space="preserve"> del Trusted Computing Group (TCG) no guarda relación con las características técnicas ni funcionales de un teclado. Los estándares desarrollados por el TCG están orientados principalmente a la seguridad de plataformas de cómputo y dispositivos que incorporan mecanismos de protección de hardware, por lo que dicha membresía no constituye un criterio técnico para evaluar la calidad, durabilidad o desempeño de un periférico de entrada.</w:t>
      </w:r>
    </w:p>
    <w:p w14:paraId="5BA91A32" w14:textId="77777777" w:rsidR="00BE6367" w:rsidRDefault="00C90F6A">
      <w:pPr>
        <w:spacing w:before="280" w:after="280"/>
        <w:jc w:val="both"/>
        <w:rPr>
          <w:rFonts w:ascii="Arial" w:eastAsia="Arial" w:hAnsi="Arial" w:cs="Arial"/>
          <w:sz w:val="20"/>
          <w:szCs w:val="20"/>
        </w:rPr>
      </w:pPr>
      <w:r>
        <w:rPr>
          <w:rFonts w:ascii="Arial" w:eastAsia="Arial" w:hAnsi="Arial" w:cs="Arial"/>
          <w:sz w:val="20"/>
          <w:szCs w:val="20"/>
        </w:rPr>
        <w:t xml:space="preserve">Esta condición puede restringir la participación de fabricantes reconocidos de periféricos como </w:t>
      </w:r>
      <w:r>
        <w:rPr>
          <w:rFonts w:ascii="Arial" w:eastAsia="Arial" w:hAnsi="Arial" w:cs="Arial"/>
          <w:b/>
          <w:bCs/>
          <w:sz w:val="20"/>
          <w:szCs w:val="20"/>
        </w:rPr>
        <w:t>Logitech, Microsoft, Cherry, Genius, Dell, HP, Lenovo, Kensington y A4Tech</w:t>
      </w:r>
      <w:r>
        <w:rPr>
          <w:rFonts w:ascii="Arial" w:eastAsia="Arial" w:hAnsi="Arial" w:cs="Arial"/>
          <w:sz w:val="20"/>
          <w:szCs w:val="20"/>
        </w:rPr>
        <w:t>, cuyos productos cumplen ampliamente los requerimientos funcionales de un teclado corporativo.</w:t>
      </w:r>
    </w:p>
    <w:p w14:paraId="015ED34C" w14:textId="77777777" w:rsidR="00BE6367" w:rsidRDefault="00C90F6A">
      <w:pPr>
        <w:spacing w:before="280" w:after="280"/>
        <w:jc w:val="both"/>
        <w:rPr>
          <w:rFonts w:ascii="Arial" w:eastAsia="Arial" w:hAnsi="Arial" w:cs="Arial"/>
          <w:b/>
          <w:bCs/>
          <w:sz w:val="20"/>
          <w:szCs w:val="20"/>
        </w:rPr>
      </w:pPr>
      <w:r>
        <w:rPr>
          <w:rFonts w:ascii="Arial" w:eastAsia="Arial" w:hAnsi="Arial" w:cs="Arial"/>
          <w:b/>
          <w:bCs/>
          <w:sz w:val="20"/>
          <w:szCs w:val="20"/>
        </w:rPr>
        <w:t>Solicitud</w:t>
      </w:r>
    </w:p>
    <w:p w14:paraId="2DDCCA00" w14:textId="77777777" w:rsidR="00BE6367" w:rsidRDefault="00C90F6A">
      <w:pPr>
        <w:spacing w:before="280" w:after="280"/>
        <w:jc w:val="both"/>
        <w:rPr>
          <w:rFonts w:ascii="Arial" w:eastAsia="Arial" w:hAnsi="Arial" w:cs="Arial"/>
          <w:sz w:val="20"/>
          <w:szCs w:val="20"/>
        </w:rPr>
      </w:pPr>
      <w:r>
        <w:rPr>
          <w:rFonts w:ascii="Arial" w:eastAsia="Arial" w:hAnsi="Arial" w:cs="Arial"/>
          <w:sz w:val="20"/>
          <w:szCs w:val="20"/>
        </w:rPr>
        <w:t>Solicitamos eliminar este requisito o reemplazarlo por certificaciones o estándares aplicables directamente al periférico ofertado.</w:t>
      </w:r>
    </w:p>
    <w:p w14:paraId="0A3E2F1B"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0EA1DA44" w14:textId="77777777" w:rsidR="00BE6367" w:rsidRDefault="00C90F6A">
      <w:pPr>
        <w:jc w:val="both"/>
        <w:rPr>
          <w:rFonts w:ascii="Arial" w:eastAsia="Arial" w:hAnsi="Arial" w:cs="Arial"/>
          <w:sz w:val="20"/>
          <w:szCs w:val="20"/>
        </w:rPr>
      </w:pPr>
      <w:r>
        <w:rPr>
          <w:rFonts w:ascii="Arial" w:eastAsia="Arial" w:hAnsi="Arial" w:cs="Arial"/>
          <w:sz w:val="20"/>
          <w:szCs w:val="20"/>
        </w:rPr>
        <w:t>No se acepta la observación. Los requisitos técnicos y de certificación establecidos constituyen los mínimos necesarios para garantizar la seguridad, confiabilidad y desempeño de los equipos ofertados. La exigencia de que el fabricante sea miembro activo del Trusted Computing Group (TCG) en la categoría Promoter responde a la necesidad de asegurar que los equipos y periféricos (incluidos teclados y mouse) provengan de fabricantes con participación plena y verificable en el desarrollo de los estándares internacionales de seguridad para plataformas de cómputo.</w:t>
      </w:r>
    </w:p>
    <w:p w14:paraId="723F2E6A" w14:textId="77777777" w:rsidR="00BE6367" w:rsidRDefault="00C90F6A">
      <w:pPr>
        <w:jc w:val="both"/>
        <w:rPr>
          <w:rFonts w:ascii="Arial" w:eastAsia="Arial" w:hAnsi="Arial" w:cs="Arial"/>
          <w:sz w:val="20"/>
          <w:szCs w:val="20"/>
        </w:rPr>
      </w:pPr>
      <w:r>
        <w:rPr>
          <w:rFonts w:ascii="Arial" w:eastAsia="Arial" w:hAnsi="Arial" w:cs="Arial"/>
          <w:sz w:val="20"/>
          <w:szCs w:val="20"/>
        </w:rPr>
        <w:t>Este requisito busca garantizar que los periféricos ofertados sean totalmente compatibles con los equipos principales bajo los mismos parámetros de fabricantes, asegurando uniformidad, interoperabilidad y cumplimiento de las especificaciones técnicas exigidas en el pliego.</w:t>
      </w:r>
    </w:p>
    <w:p w14:paraId="7CE49A8B" w14:textId="77777777" w:rsidR="00BE6367" w:rsidRDefault="00C90F6A">
      <w:pPr>
        <w:jc w:val="both"/>
        <w:rPr>
          <w:rFonts w:ascii="Arial" w:eastAsia="Arial" w:hAnsi="Arial" w:cs="Arial"/>
          <w:sz w:val="20"/>
          <w:szCs w:val="20"/>
        </w:rPr>
      </w:pPr>
      <w:r>
        <w:rPr>
          <w:rFonts w:ascii="Arial" w:eastAsia="Arial" w:hAnsi="Arial" w:cs="Arial"/>
          <w:sz w:val="20"/>
          <w:szCs w:val="20"/>
        </w:rPr>
        <w:t>En consecuencia, únicamente se aceptarán equipos y periféricos cuyos fabricantes acrediten la membresía en la categoría Promoter o superior, condición verificable en el sitio web oficial de Trusted Computing Group. Se aclara además que existe pluralidad de marcas en el mercado que cumplen con este requisito, lo que garantiza la libre concurrencia y la selección objetiva dentro del proceso.</w:t>
      </w:r>
    </w:p>
    <w:p w14:paraId="6909BCA8" w14:textId="77777777" w:rsidR="00BE6367" w:rsidRDefault="00C90F6A">
      <w:pPr>
        <w:spacing w:before="280" w:after="280"/>
        <w:jc w:val="both"/>
        <w:rPr>
          <w:rFonts w:ascii="Arial" w:eastAsia="Arial" w:hAnsi="Arial" w:cs="Arial"/>
          <w:b/>
          <w:bCs/>
          <w:sz w:val="20"/>
          <w:szCs w:val="20"/>
        </w:rPr>
      </w:pPr>
      <w:r>
        <w:rPr>
          <w:rFonts w:ascii="Arial" w:eastAsia="Arial" w:hAnsi="Arial" w:cs="Arial"/>
          <w:b/>
          <w:bCs/>
          <w:sz w:val="20"/>
          <w:szCs w:val="20"/>
        </w:rPr>
        <w:t>MOUSE USB</w:t>
      </w:r>
    </w:p>
    <w:p w14:paraId="3597641B" w14:textId="77777777" w:rsidR="00BE6367" w:rsidRDefault="00C90F6A">
      <w:pPr>
        <w:spacing w:before="280" w:after="280"/>
        <w:jc w:val="both"/>
        <w:rPr>
          <w:rFonts w:ascii="Arial" w:eastAsia="Arial" w:hAnsi="Arial" w:cs="Arial"/>
          <w:b/>
          <w:bCs/>
          <w:sz w:val="20"/>
          <w:szCs w:val="20"/>
        </w:rPr>
      </w:pPr>
      <w:r>
        <w:rPr>
          <w:rFonts w:ascii="Arial" w:eastAsia="Arial" w:hAnsi="Arial" w:cs="Arial"/>
          <w:b/>
          <w:bCs/>
          <w:sz w:val="20"/>
          <w:szCs w:val="20"/>
        </w:rPr>
        <w:t>Observación No. 1 – Categoría Promoter en el Trusted Computing Group (TCG)</w:t>
      </w:r>
    </w:p>
    <w:p w14:paraId="0BE828F1" w14:textId="77777777" w:rsidR="00BE6367" w:rsidRDefault="00C90F6A">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Requisito observado</w:t>
      </w:r>
    </w:p>
    <w:p w14:paraId="647763D0" w14:textId="77777777" w:rsidR="00BE6367" w:rsidRDefault="00C90F6A">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El fabricante debe contar con categoría Promoter en el Trusted Computing Group (TCG).</w:t>
      </w:r>
    </w:p>
    <w:p w14:paraId="533D2097" w14:textId="77777777" w:rsidR="00BE6367" w:rsidRDefault="00C90F6A">
      <w:pPr>
        <w:spacing w:before="280" w:after="280"/>
        <w:jc w:val="both"/>
        <w:rPr>
          <w:rFonts w:ascii="Arial" w:eastAsia="Arial" w:hAnsi="Arial" w:cs="Arial"/>
          <w:b/>
          <w:bCs/>
          <w:sz w:val="20"/>
          <w:szCs w:val="20"/>
        </w:rPr>
      </w:pPr>
      <w:r>
        <w:rPr>
          <w:rFonts w:ascii="Arial" w:eastAsia="Arial" w:hAnsi="Arial" w:cs="Arial"/>
          <w:b/>
          <w:bCs/>
          <w:sz w:val="20"/>
          <w:szCs w:val="20"/>
        </w:rPr>
        <w:t>Observación</w:t>
      </w:r>
    </w:p>
    <w:p w14:paraId="6B182EA0" w14:textId="77777777" w:rsidR="00BE6367" w:rsidRDefault="00C90F6A">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La exigencia de que el fabricante pertenezca específicamente a la categoría </w:t>
      </w:r>
      <w:r>
        <w:rPr>
          <w:rFonts w:ascii="Arial" w:eastAsia="Arial" w:hAnsi="Arial" w:cs="Arial"/>
          <w:b/>
          <w:bCs/>
          <w:color w:val="000000"/>
          <w:sz w:val="20"/>
          <w:szCs w:val="20"/>
        </w:rPr>
        <w:t>Promoter</w:t>
      </w:r>
      <w:r>
        <w:rPr>
          <w:rFonts w:ascii="Arial" w:eastAsia="Arial" w:hAnsi="Arial" w:cs="Arial"/>
          <w:color w:val="000000"/>
          <w:sz w:val="20"/>
          <w:szCs w:val="20"/>
        </w:rPr>
        <w:t xml:space="preserve"> del Trusted Computing Group (TCG) no guarda relación con las características técnicas ni funcionales de un mouse. Los estándares del TCG se encuentran orientados a plataformas de seguridad informática y no constituyen un parámetro para evaluar el desempeño, precisión o calidad de un dispositivo apuntador.</w:t>
      </w:r>
    </w:p>
    <w:p w14:paraId="19C18DF0" w14:textId="77777777" w:rsidR="00BE6367" w:rsidRDefault="00C90F6A">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La permanencia de este requisito podría restringir la participación de fabricantes ampliamente reconocidos en el mercado de periféricos, como </w:t>
      </w:r>
      <w:r>
        <w:rPr>
          <w:rFonts w:ascii="Arial" w:eastAsia="Arial" w:hAnsi="Arial" w:cs="Arial"/>
          <w:b/>
          <w:bCs/>
          <w:color w:val="000000"/>
          <w:sz w:val="20"/>
          <w:szCs w:val="20"/>
        </w:rPr>
        <w:t xml:space="preserve">Logitech, Microsoft, Cherry, Dell, HP, </w:t>
      </w:r>
      <w:r>
        <w:rPr>
          <w:rFonts w:ascii="Arial" w:eastAsia="Arial" w:hAnsi="Arial" w:cs="Arial"/>
          <w:b/>
          <w:bCs/>
          <w:color w:val="000000"/>
          <w:sz w:val="20"/>
          <w:szCs w:val="20"/>
        </w:rPr>
        <w:lastRenderedPageBreak/>
        <w:t>Lenovo, Kensington, Genius y A4Tech</w:t>
      </w:r>
      <w:r>
        <w:rPr>
          <w:rFonts w:ascii="Arial" w:eastAsia="Arial" w:hAnsi="Arial" w:cs="Arial"/>
          <w:color w:val="000000"/>
          <w:sz w:val="20"/>
          <w:szCs w:val="20"/>
        </w:rPr>
        <w:t>, sin que ello represente una mejora técnica para la solución requerida por la Entidad.</w:t>
      </w:r>
    </w:p>
    <w:p w14:paraId="316EF38D" w14:textId="77777777" w:rsidR="00BE6367" w:rsidRDefault="00C90F6A">
      <w:pPr>
        <w:pStyle w:val="Heading3"/>
        <w:jc w:val="both"/>
        <w:rPr>
          <w:rFonts w:ascii="Arial" w:eastAsia="Arial" w:hAnsi="Arial" w:cs="Arial"/>
          <w:sz w:val="20"/>
          <w:szCs w:val="20"/>
        </w:rPr>
      </w:pPr>
      <w:r>
        <w:rPr>
          <w:rFonts w:ascii="Arial" w:eastAsia="Arial" w:hAnsi="Arial" w:cs="Arial"/>
          <w:sz w:val="20"/>
          <w:szCs w:val="20"/>
        </w:rPr>
        <w:t>Solicitud</w:t>
      </w:r>
    </w:p>
    <w:p w14:paraId="08822704" w14:textId="77777777" w:rsidR="00BE6367" w:rsidRDefault="00C90F6A">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Solicitamos eliminar este requisito o reemplazarlo por certificaciones o estándares aplicables directamente al periférico ofertado.</w:t>
      </w:r>
    </w:p>
    <w:p w14:paraId="041F802D"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4784E8E8" w14:textId="77777777" w:rsidR="00BE6367" w:rsidRDefault="00C90F6A">
      <w:pPr>
        <w:jc w:val="both"/>
        <w:rPr>
          <w:rFonts w:ascii="Arial" w:eastAsia="Arial" w:hAnsi="Arial" w:cs="Arial"/>
          <w:sz w:val="20"/>
          <w:szCs w:val="20"/>
        </w:rPr>
      </w:pPr>
      <w:r>
        <w:rPr>
          <w:rFonts w:ascii="Arial" w:eastAsia="Arial" w:hAnsi="Arial" w:cs="Arial"/>
          <w:sz w:val="20"/>
          <w:szCs w:val="20"/>
        </w:rPr>
        <w:t>No se acepta la observación. Los requisitos técnicos y de certificación establecidos constituyen los mínimos necesarios para garantizar la seguridad, confiabilidad y desempeño de los equipos ofertados. La exigencia de que el fabricante sea miembro activo del Trusted Computing Group (TCG) en la categoría Promoter responde a la necesidad de asegurar que los equipos y periféricos (incluidos teclados y mouse) provengan de fabricantes con participación plena y verificable en el desarrollo de los estándares internacionales de seguridad para plataformas de cómputo.</w:t>
      </w:r>
    </w:p>
    <w:p w14:paraId="50E7ECB7" w14:textId="77777777" w:rsidR="00BE6367" w:rsidRDefault="00C90F6A">
      <w:pPr>
        <w:jc w:val="both"/>
        <w:rPr>
          <w:rFonts w:ascii="Arial" w:eastAsia="Arial" w:hAnsi="Arial" w:cs="Arial"/>
          <w:sz w:val="20"/>
          <w:szCs w:val="20"/>
        </w:rPr>
      </w:pPr>
      <w:r>
        <w:rPr>
          <w:rFonts w:ascii="Arial" w:eastAsia="Arial" w:hAnsi="Arial" w:cs="Arial"/>
          <w:sz w:val="20"/>
          <w:szCs w:val="20"/>
        </w:rPr>
        <w:t>Este requisito busca garantizar que los periféricos ofertados sean totalmente compatibles con los equipos principales bajo los mismos parámetros de fabricantes, asegurando uniformidad, interoperabilidad y cumplimiento de las especificaciones técnicas exigidas en el pliego.</w:t>
      </w:r>
    </w:p>
    <w:p w14:paraId="6C70F98D" w14:textId="77777777" w:rsidR="00BE6367" w:rsidRDefault="00C90F6A">
      <w:pPr>
        <w:jc w:val="both"/>
        <w:rPr>
          <w:rFonts w:ascii="Arial" w:eastAsia="Arial" w:hAnsi="Arial" w:cs="Arial"/>
          <w:sz w:val="20"/>
          <w:szCs w:val="20"/>
        </w:rPr>
      </w:pPr>
      <w:r>
        <w:rPr>
          <w:rFonts w:ascii="Arial" w:eastAsia="Arial" w:hAnsi="Arial" w:cs="Arial"/>
          <w:sz w:val="20"/>
          <w:szCs w:val="20"/>
        </w:rPr>
        <w:t>En consecuencia, únicamente se aceptarán equipos y periféricos cuyos fabricantes acrediten la membresía en la categoría Promoter o superior, condición verificable en el sitio web oficial de Trusted Computing Group. Se aclara además que existe pluralidad de marcas en el mercado que cumplen con este requisito, lo que garantiza la libre concurrencia y la selección objetiva dentro del proceso.</w:t>
      </w:r>
    </w:p>
    <w:p w14:paraId="45228498" w14:textId="77777777" w:rsidR="00BE6367" w:rsidRDefault="00C90F6A">
      <w:pPr>
        <w:spacing w:before="280" w:after="280"/>
        <w:jc w:val="both"/>
        <w:rPr>
          <w:rFonts w:ascii="Arial" w:eastAsia="Arial" w:hAnsi="Arial" w:cs="Arial"/>
          <w:b/>
          <w:bCs/>
          <w:sz w:val="20"/>
          <w:szCs w:val="20"/>
        </w:rPr>
      </w:pPr>
      <w:r>
        <w:rPr>
          <w:rFonts w:ascii="Arial" w:eastAsia="Arial" w:hAnsi="Arial" w:cs="Arial"/>
          <w:b/>
          <w:bCs/>
          <w:sz w:val="20"/>
          <w:szCs w:val="20"/>
        </w:rPr>
        <w:t>AUDÍFONOS USB CON MICRÓFONO</w:t>
      </w:r>
    </w:p>
    <w:p w14:paraId="5845841F" w14:textId="77777777" w:rsidR="00BE6367" w:rsidRDefault="00C90F6A">
      <w:pPr>
        <w:spacing w:before="280" w:after="280"/>
        <w:jc w:val="both"/>
        <w:rPr>
          <w:rFonts w:ascii="Arial" w:eastAsia="Arial" w:hAnsi="Arial" w:cs="Arial"/>
          <w:b/>
          <w:bCs/>
          <w:sz w:val="20"/>
          <w:szCs w:val="20"/>
        </w:rPr>
      </w:pPr>
      <w:r>
        <w:rPr>
          <w:rFonts w:ascii="Arial" w:eastAsia="Arial" w:hAnsi="Arial" w:cs="Arial"/>
          <w:b/>
          <w:bCs/>
          <w:sz w:val="20"/>
          <w:szCs w:val="20"/>
        </w:rPr>
        <w:t>Observación No. 1 – Categoría Promoter en el Trusted Computing Group (TCG)</w:t>
      </w:r>
    </w:p>
    <w:p w14:paraId="7DEA8F58" w14:textId="77777777" w:rsidR="00BE6367" w:rsidRDefault="00C90F6A">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Requisito observado</w:t>
      </w:r>
    </w:p>
    <w:p w14:paraId="2A8A2D5D" w14:textId="77777777" w:rsidR="00BE6367" w:rsidRDefault="00C90F6A">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El fabricante debe contar con categoría Promoter en el Trusted Computing Group (TCG).</w:t>
      </w:r>
    </w:p>
    <w:p w14:paraId="11FB0F25" w14:textId="77777777" w:rsidR="00BE6367" w:rsidRDefault="00C90F6A">
      <w:pPr>
        <w:pStyle w:val="Heading3"/>
        <w:jc w:val="both"/>
        <w:rPr>
          <w:rFonts w:ascii="Arial" w:eastAsia="Arial" w:hAnsi="Arial" w:cs="Arial"/>
          <w:sz w:val="20"/>
          <w:szCs w:val="20"/>
        </w:rPr>
      </w:pPr>
      <w:r>
        <w:rPr>
          <w:rFonts w:ascii="Arial" w:eastAsia="Arial" w:hAnsi="Arial" w:cs="Arial"/>
          <w:sz w:val="20"/>
          <w:szCs w:val="20"/>
        </w:rPr>
        <w:t>Observación</w:t>
      </w:r>
    </w:p>
    <w:p w14:paraId="6780C76B" w14:textId="77777777" w:rsidR="00BE6367" w:rsidRDefault="00C90F6A">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La exigencia de que el fabricante pertenezca específicamente a la categoría </w:t>
      </w:r>
      <w:r>
        <w:rPr>
          <w:rFonts w:ascii="Arial" w:eastAsia="Arial" w:hAnsi="Arial" w:cs="Arial"/>
          <w:b/>
          <w:bCs/>
          <w:color w:val="000000"/>
          <w:sz w:val="20"/>
          <w:szCs w:val="20"/>
        </w:rPr>
        <w:t>Promoter</w:t>
      </w:r>
      <w:r>
        <w:rPr>
          <w:rFonts w:ascii="Arial" w:eastAsia="Arial" w:hAnsi="Arial" w:cs="Arial"/>
          <w:color w:val="000000"/>
          <w:sz w:val="20"/>
          <w:szCs w:val="20"/>
        </w:rPr>
        <w:t xml:space="preserve"> del Trusted Computing Group (TCG) no guarda relación con las características técnicas ni funcionales de unos audífonos con micrófono. Los estándares desarrollados por el TCG están orientados a la seguridad de plataformas de cómputo y dispositivos que incorporan mecanismos de protección de hardware, por lo que dicha membresía no constituye un criterio técnico para evaluar la calidad de un periférico de audio.</w:t>
      </w:r>
    </w:p>
    <w:p w14:paraId="526F50ED" w14:textId="77777777" w:rsidR="00BE6367" w:rsidRDefault="00C90F6A">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Esta condición puede restringir la participación de fabricantes reconocidos como </w:t>
      </w:r>
      <w:r>
        <w:rPr>
          <w:rFonts w:ascii="Arial" w:eastAsia="Arial" w:hAnsi="Arial" w:cs="Arial"/>
          <w:b/>
          <w:bCs/>
          <w:color w:val="000000"/>
          <w:sz w:val="20"/>
          <w:szCs w:val="20"/>
        </w:rPr>
        <w:t>Jabra, Poly (HP), Logitech, EPOS, Yealink, Dell y Lenovo</w:t>
      </w:r>
      <w:r>
        <w:rPr>
          <w:rFonts w:ascii="Arial" w:eastAsia="Arial" w:hAnsi="Arial" w:cs="Arial"/>
          <w:color w:val="000000"/>
          <w:sz w:val="20"/>
          <w:szCs w:val="20"/>
        </w:rPr>
        <w:t>, cuyos dispositivos cumplen ampliamente con los requerimientos para entornos corporativos y de videoconferencia, sin que la categoría de membresía del fabricante en el TCG tenga incidencia en el desempeño del producto.</w:t>
      </w:r>
    </w:p>
    <w:p w14:paraId="13807402" w14:textId="77777777" w:rsidR="00BE6367" w:rsidRDefault="00C90F6A">
      <w:pPr>
        <w:pStyle w:val="Heading3"/>
        <w:jc w:val="both"/>
        <w:rPr>
          <w:rFonts w:ascii="Arial" w:eastAsia="Arial" w:hAnsi="Arial" w:cs="Arial"/>
          <w:sz w:val="20"/>
          <w:szCs w:val="20"/>
        </w:rPr>
      </w:pPr>
      <w:r>
        <w:rPr>
          <w:rFonts w:ascii="Arial" w:eastAsia="Arial" w:hAnsi="Arial" w:cs="Arial"/>
          <w:sz w:val="20"/>
          <w:szCs w:val="20"/>
        </w:rPr>
        <w:t>Solicitud</w:t>
      </w:r>
    </w:p>
    <w:p w14:paraId="41EF3762" w14:textId="77777777" w:rsidR="00BE6367" w:rsidRDefault="00C90F6A">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Solicitamos eliminar este requisito o reemplazarlo por certificaciones o estándares aplicables directamente a los audífonos ofertados.</w:t>
      </w:r>
    </w:p>
    <w:p w14:paraId="112C8F75" w14:textId="77777777" w:rsidR="00BE6367" w:rsidRDefault="00C90F6A">
      <w:pPr>
        <w:pBdr>
          <w:top w:val="nil"/>
          <w:left w:val="nil"/>
          <w:bottom w:val="nil"/>
          <w:right w:val="nil"/>
          <w:between w:val="nil"/>
        </w:pBd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758841B5" w14:textId="77777777" w:rsidR="00BE6367" w:rsidRDefault="00C90F6A">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lastRenderedPageBreak/>
        <w:t>No se acoge la observación. Se precisa que en este ítem de audífonos USB con micrófono no se está solicitando como requisito que el fabricante pertenezca a la categoría Promoter del Trusted Computing Group (TCG).</w:t>
      </w:r>
    </w:p>
    <w:p w14:paraId="074DC487" w14:textId="77777777" w:rsidR="00BE6367" w:rsidRDefault="00C90F6A">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Los requisitos definidos para este producto se limitan exclusivamente a las características técnicas y funcionales propias de los audífonos, garantizando su calidad, compatibilidad y desempeño en los entornos corporativos previstos. Asimismo, se aclara que existe pluralidad de marcas en el mercado que cumplen con las especificaciones exigidas, asegurando la libre concurrencia y la selección objetiva dentro del proceso.</w:t>
      </w:r>
    </w:p>
    <w:p w14:paraId="4D79279D" w14:textId="77777777" w:rsidR="00BE6367" w:rsidRDefault="00C90F6A">
      <w:pPr>
        <w:spacing w:before="280" w:after="280"/>
        <w:jc w:val="both"/>
        <w:rPr>
          <w:rFonts w:ascii="Arial" w:eastAsia="Arial" w:hAnsi="Arial" w:cs="Arial"/>
          <w:b/>
          <w:bCs/>
          <w:sz w:val="20"/>
          <w:szCs w:val="20"/>
        </w:rPr>
      </w:pPr>
      <w:r>
        <w:rPr>
          <w:rFonts w:ascii="Arial" w:eastAsia="Arial" w:hAnsi="Arial" w:cs="Arial"/>
          <w:b/>
          <w:bCs/>
          <w:sz w:val="20"/>
          <w:szCs w:val="20"/>
        </w:rPr>
        <w:t>MONITOR TÁCTIL INTERACTIVO 75"</w:t>
      </w:r>
    </w:p>
    <w:p w14:paraId="3BF19132" w14:textId="77777777" w:rsidR="00BE6367" w:rsidRDefault="00C90F6A">
      <w:pPr>
        <w:spacing w:before="280" w:after="280"/>
        <w:jc w:val="both"/>
        <w:rPr>
          <w:rFonts w:ascii="Arial" w:eastAsia="Arial" w:hAnsi="Arial" w:cs="Arial"/>
          <w:b/>
          <w:bCs/>
          <w:sz w:val="20"/>
          <w:szCs w:val="20"/>
        </w:rPr>
      </w:pPr>
      <w:r>
        <w:rPr>
          <w:rFonts w:ascii="Arial" w:eastAsia="Arial" w:hAnsi="Arial" w:cs="Arial"/>
          <w:b/>
          <w:bCs/>
          <w:sz w:val="20"/>
          <w:szCs w:val="20"/>
        </w:rPr>
        <w:t>Observación No. 1 – Capacidad multitáctil de 50 puntos</w:t>
      </w:r>
    </w:p>
    <w:p w14:paraId="3D5BF8DD" w14:textId="77777777" w:rsidR="00BE6367" w:rsidRDefault="00C90F6A">
      <w:pPr>
        <w:spacing w:before="280" w:after="280"/>
        <w:jc w:val="both"/>
        <w:rPr>
          <w:rFonts w:ascii="Arial" w:eastAsia="Arial" w:hAnsi="Arial" w:cs="Arial"/>
          <w:sz w:val="20"/>
          <w:szCs w:val="20"/>
        </w:rPr>
      </w:pPr>
      <w:r>
        <w:rPr>
          <w:rFonts w:ascii="Arial" w:eastAsia="Arial" w:hAnsi="Arial" w:cs="Arial"/>
          <w:b/>
          <w:bCs/>
          <w:sz w:val="20"/>
          <w:szCs w:val="20"/>
        </w:rPr>
        <w:t>Requisito observado</w:t>
      </w:r>
    </w:p>
    <w:p w14:paraId="0C671DFD" w14:textId="77777777" w:rsidR="00BE6367" w:rsidRDefault="00C90F6A">
      <w:pPr>
        <w:spacing w:before="280" w:after="280"/>
        <w:jc w:val="both"/>
        <w:rPr>
          <w:rFonts w:ascii="Arial" w:eastAsia="Arial" w:hAnsi="Arial" w:cs="Arial"/>
          <w:sz w:val="20"/>
          <w:szCs w:val="20"/>
        </w:rPr>
      </w:pPr>
      <w:r>
        <w:rPr>
          <w:rFonts w:ascii="Arial" w:eastAsia="Arial" w:hAnsi="Arial" w:cs="Arial"/>
          <w:sz w:val="20"/>
          <w:szCs w:val="20"/>
        </w:rPr>
        <w:t>Capacidad multitáctil simultánea de hasta 50 puntos.</w:t>
      </w:r>
    </w:p>
    <w:p w14:paraId="6AF6355F" w14:textId="77777777" w:rsidR="00BE6367" w:rsidRDefault="00C90F6A">
      <w:pPr>
        <w:spacing w:before="280" w:after="280"/>
        <w:jc w:val="both"/>
        <w:rPr>
          <w:rFonts w:ascii="Arial" w:eastAsia="Arial" w:hAnsi="Arial" w:cs="Arial"/>
          <w:b/>
          <w:bCs/>
          <w:sz w:val="20"/>
          <w:szCs w:val="20"/>
        </w:rPr>
      </w:pPr>
      <w:r>
        <w:rPr>
          <w:rFonts w:ascii="Arial" w:eastAsia="Arial" w:hAnsi="Arial" w:cs="Arial"/>
          <w:b/>
          <w:bCs/>
          <w:sz w:val="20"/>
          <w:szCs w:val="20"/>
        </w:rPr>
        <w:t>Observación</w:t>
      </w:r>
    </w:p>
    <w:p w14:paraId="026A5BC7" w14:textId="77777777" w:rsidR="00BE6367" w:rsidRDefault="00C90F6A">
      <w:pPr>
        <w:spacing w:before="280" w:after="280"/>
        <w:jc w:val="both"/>
        <w:rPr>
          <w:rFonts w:ascii="Arial" w:eastAsia="Arial" w:hAnsi="Arial" w:cs="Arial"/>
          <w:sz w:val="20"/>
          <w:szCs w:val="20"/>
        </w:rPr>
      </w:pPr>
      <w:r>
        <w:rPr>
          <w:rFonts w:ascii="Arial" w:eastAsia="Arial" w:hAnsi="Arial" w:cs="Arial"/>
          <w:sz w:val="20"/>
          <w:szCs w:val="20"/>
        </w:rPr>
        <w:t xml:space="preserve">La exigencia de una capacidad multitáctil de </w:t>
      </w:r>
      <w:r>
        <w:rPr>
          <w:rFonts w:ascii="Arial" w:eastAsia="Arial" w:hAnsi="Arial" w:cs="Arial"/>
          <w:b/>
          <w:bCs/>
          <w:sz w:val="20"/>
          <w:szCs w:val="20"/>
        </w:rPr>
        <w:t>50 puntos simultáneos</w:t>
      </w:r>
      <w:r>
        <w:rPr>
          <w:rFonts w:ascii="Arial" w:eastAsia="Arial" w:hAnsi="Arial" w:cs="Arial"/>
          <w:sz w:val="20"/>
          <w:szCs w:val="20"/>
        </w:rPr>
        <w:t xml:space="preserve"> supera ampliamente las necesidades habituales de uso en escenarios de colaboración, capacitación y reuniones. Actualmente, fabricantes de amplia trayectoria como </w:t>
      </w:r>
      <w:r>
        <w:rPr>
          <w:rFonts w:ascii="Arial" w:eastAsia="Arial" w:hAnsi="Arial" w:cs="Arial"/>
          <w:b/>
          <w:bCs/>
          <w:sz w:val="20"/>
          <w:szCs w:val="20"/>
        </w:rPr>
        <w:t>SMART Technologies, Promethean, ViewSonic, BenQ, Samsung, LG y Newline</w:t>
      </w:r>
      <w:r>
        <w:rPr>
          <w:rFonts w:ascii="Arial" w:eastAsia="Arial" w:hAnsi="Arial" w:cs="Arial"/>
          <w:sz w:val="20"/>
          <w:szCs w:val="20"/>
        </w:rPr>
        <w:t xml:space="preserve"> ofrecen soluciones con </w:t>
      </w:r>
      <w:r>
        <w:rPr>
          <w:rFonts w:ascii="Arial" w:eastAsia="Arial" w:hAnsi="Arial" w:cs="Arial"/>
          <w:b/>
          <w:bCs/>
          <w:sz w:val="20"/>
          <w:szCs w:val="20"/>
        </w:rPr>
        <w:t>20, 32 o 40 puntos táctiles</w:t>
      </w:r>
      <w:r>
        <w:rPr>
          <w:rFonts w:ascii="Arial" w:eastAsia="Arial" w:hAnsi="Arial" w:cs="Arial"/>
          <w:sz w:val="20"/>
          <w:szCs w:val="20"/>
        </w:rPr>
        <w:t>, permitiendo la interacción simultánea de múltiples usuarios sin afectar la experiencia de uso.</w:t>
      </w:r>
    </w:p>
    <w:p w14:paraId="454F81E3" w14:textId="77777777" w:rsidR="00BE6367" w:rsidRDefault="00C90F6A">
      <w:pPr>
        <w:spacing w:before="280" w:after="280"/>
        <w:jc w:val="both"/>
        <w:rPr>
          <w:rFonts w:ascii="Arial" w:eastAsia="Arial" w:hAnsi="Arial" w:cs="Arial"/>
          <w:sz w:val="20"/>
          <w:szCs w:val="20"/>
        </w:rPr>
      </w:pPr>
      <w:r>
        <w:rPr>
          <w:rFonts w:ascii="Arial" w:eastAsia="Arial" w:hAnsi="Arial" w:cs="Arial"/>
          <w:sz w:val="20"/>
          <w:szCs w:val="20"/>
        </w:rPr>
        <w:t>No se evidencia una justificación técnica que demuestre que una capacidad de 50 puntos represente un beneficio funcional para el objeto del proceso, por lo que esta exigencia podría restringir la participación de soluciones técnicamente equivalentes.</w:t>
      </w:r>
    </w:p>
    <w:p w14:paraId="1636BBD5" w14:textId="77777777" w:rsidR="00BE6367" w:rsidRDefault="00C90F6A">
      <w:pPr>
        <w:spacing w:before="280" w:after="280"/>
        <w:jc w:val="both"/>
        <w:rPr>
          <w:rFonts w:ascii="Arial" w:eastAsia="Arial" w:hAnsi="Arial" w:cs="Arial"/>
          <w:b/>
          <w:bCs/>
          <w:sz w:val="20"/>
          <w:szCs w:val="20"/>
        </w:rPr>
      </w:pPr>
      <w:r>
        <w:rPr>
          <w:rFonts w:ascii="Arial" w:eastAsia="Arial" w:hAnsi="Arial" w:cs="Arial"/>
          <w:b/>
          <w:bCs/>
          <w:sz w:val="20"/>
          <w:szCs w:val="20"/>
        </w:rPr>
        <w:t>Solicitud</w:t>
      </w:r>
    </w:p>
    <w:p w14:paraId="4CD0A71B" w14:textId="77777777" w:rsidR="00BE6367" w:rsidRDefault="00C90F6A">
      <w:pPr>
        <w:spacing w:before="280" w:after="280"/>
        <w:jc w:val="both"/>
        <w:rPr>
          <w:rFonts w:ascii="Arial" w:eastAsia="Arial" w:hAnsi="Arial" w:cs="Arial"/>
          <w:sz w:val="20"/>
          <w:szCs w:val="20"/>
        </w:rPr>
      </w:pPr>
      <w:r>
        <w:rPr>
          <w:rFonts w:ascii="Arial" w:eastAsia="Arial" w:hAnsi="Arial" w:cs="Arial"/>
          <w:sz w:val="20"/>
          <w:szCs w:val="20"/>
        </w:rPr>
        <w:t xml:space="preserve">Solicitamos permitir pantallas con capacidad multitáctil de </w:t>
      </w:r>
      <w:r>
        <w:rPr>
          <w:rFonts w:ascii="Arial" w:eastAsia="Arial" w:hAnsi="Arial" w:cs="Arial"/>
          <w:b/>
          <w:bCs/>
          <w:sz w:val="20"/>
          <w:szCs w:val="20"/>
        </w:rPr>
        <w:t>20 puntos o superior</w:t>
      </w:r>
      <w:r>
        <w:rPr>
          <w:rFonts w:ascii="Arial" w:eastAsia="Arial" w:hAnsi="Arial" w:cs="Arial"/>
          <w:sz w:val="20"/>
          <w:szCs w:val="20"/>
        </w:rPr>
        <w:t>, siempre que garanticen la funcionalidad colaborativa requerida por la Entidad.</w:t>
      </w:r>
    </w:p>
    <w:p w14:paraId="7BA790A5" w14:textId="77777777" w:rsidR="00BE6367" w:rsidRDefault="00C90F6A">
      <w:pPr>
        <w:spacing w:after="280"/>
        <w:jc w:val="both"/>
        <w:rPr>
          <w:rFonts w:ascii="Arial" w:eastAsia="Arial" w:hAnsi="Arial" w:cs="Arial"/>
          <w:b/>
          <w:bCs/>
          <w:sz w:val="20"/>
          <w:szCs w:val="20"/>
        </w:rPr>
      </w:pPr>
      <w:r>
        <w:rPr>
          <w:rFonts w:ascii="Arial" w:eastAsia="Arial" w:hAnsi="Arial" w:cs="Arial"/>
          <w:b/>
          <w:bCs/>
          <w:sz w:val="20"/>
          <w:szCs w:val="20"/>
        </w:rPr>
        <w:t>RESPUESTA OBSERVACIÓN:</w:t>
      </w:r>
    </w:p>
    <w:p w14:paraId="666501F9" w14:textId="77777777" w:rsidR="00BE6367" w:rsidRDefault="00C90F6A">
      <w:pPr>
        <w:spacing w:before="280" w:after="280"/>
        <w:jc w:val="both"/>
        <w:rPr>
          <w:rFonts w:ascii="Arial" w:eastAsia="Arial" w:hAnsi="Arial" w:cs="Arial"/>
          <w:sz w:val="20"/>
          <w:szCs w:val="20"/>
        </w:rPr>
      </w:pPr>
      <w:r>
        <w:rPr>
          <w:rFonts w:ascii="Arial" w:eastAsia="Arial" w:hAnsi="Arial" w:cs="Arial"/>
          <w:sz w:val="20"/>
          <w:szCs w:val="20"/>
        </w:rPr>
        <w:t xml:space="preserve">Se acepta parcialmente la observación. La Entidad ajustará la ficha técnica para exigir una capacidad multitáctil simultánea mínima de 30 puntos o superior, por considerar que dicha capacidad resulta suficiente para garantizar la funcionalidad colaborativa requerida en los escenarios de uso previstos (capacitación, reuniones y trabajo colaborativo), sin que la reducción del requisito disminuya el estándar funcional exigido por la Entidad, en aplicación de los principios de libre concurrencia y selección objetiva (art. 5 Ley 1150 de 2007). </w:t>
      </w:r>
    </w:p>
    <w:p w14:paraId="4C09AD5C" w14:textId="77777777" w:rsidR="00BE6367" w:rsidRDefault="00000000">
      <w:pPr>
        <w:jc w:val="both"/>
        <w:rPr>
          <w:rFonts w:ascii="Arial" w:eastAsia="Arial" w:hAnsi="Arial" w:cs="Arial"/>
          <w:sz w:val="20"/>
          <w:szCs w:val="20"/>
        </w:rPr>
      </w:pPr>
      <w:r>
        <w:pict w14:anchorId="320F6331">
          <v:rect id="_x0000_i1102" style="width:0;height:1.5pt" o:hralign="center" o:hrstd="t" o:hr="t" fillcolor="#a0a0a0" stroked="f"/>
        </w:pict>
      </w:r>
    </w:p>
    <w:p w14:paraId="2A4C7E96" w14:textId="77777777" w:rsidR="00BE6367" w:rsidRDefault="00C90F6A">
      <w:pPr>
        <w:spacing w:before="280" w:after="280"/>
        <w:jc w:val="both"/>
        <w:rPr>
          <w:rFonts w:ascii="Arial" w:eastAsia="Arial" w:hAnsi="Arial" w:cs="Arial"/>
          <w:b/>
          <w:bCs/>
          <w:sz w:val="20"/>
          <w:szCs w:val="20"/>
        </w:rPr>
      </w:pPr>
      <w:r>
        <w:rPr>
          <w:rFonts w:ascii="Arial" w:eastAsia="Arial" w:hAnsi="Arial" w:cs="Arial"/>
          <w:b/>
          <w:bCs/>
          <w:sz w:val="20"/>
          <w:szCs w:val="20"/>
        </w:rPr>
        <w:t>Observación No. 2 – Cantidad específica de puertos USB Tipo A</w:t>
      </w:r>
    </w:p>
    <w:p w14:paraId="53A10400" w14:textId="77777777" w:rsidR="00BE6367" w:rsidRDefault="00C90F6A">
      <w:pPr>
        <w:spacing w:before="280" w:after="280"/>
        <w:jc w:val="both"/>
        <w:rPr>
          <w:rFonts w:ascii="Arial" w:eastAsia="Arial" w:hAnsi="Arial" w:cs="Arial"/>
          <w:sz w:val="20"/>
          <w:szCs w:val="20"/>
        </w:rPr>
      </w:pPr>
      <w:r>
        <w:rPr>
          <w:rFonts w:ascii="Arial" w:eastAsia="Arial" w:hAnsi="Arial" w:cs="Arial"/>
          <w:b/>
          <w:bCs/>
          <w:sz w:val="20"/>
          <w:szCs w:val="20"/>
        </w:rPr>
        <w:t>Requisito observado</w:t>
      </w:r>
    </w:p>
    <w:p w14:paraId="63236717" w14:textId="77777777" w:rsidR="00BE6367" w:rsidRDefault="00C90F6A">
      <w:pPr>
        <w:spacing w:before="280" w:after="280"/>
        <w:jc w:val="both"/>
        <w:rPr>
          <w:rFonts w:ascii="Arial" w:eastAsia="Arial" w:hAnsi="Arial" w:cs="Arial"/>
          <w:sz w:val="20"/>
          <w:szCs w:val="20"/>
        </w:rPr>
      </w:pPr>
      <w:r>
        <w:rPr>
          <w:rFonts w:ascii="Arial" w:eastAsia="Arial" w:hAnsi="Arial" w:cs="Arial"/>
          <w:sz w:val="20"/>
          <w:szCs w:val="20"/>
        </w:rPr>
        <w:t>Mínimo cinco (5) puertos USB 3.0 Tipo A.</w:t>
      </w:r>
    </w:p>
    <w:p w14:paraId="6036B731" w14:textId="77777777" w:rsidR="00BE6367" w:rsidRDefault="00C90F6A">
      <w:pPr>
        <w:spacing w:before="280" w:after="280"/>
        <w:jc w:val="both"/>
        <w:rPr>
          <w:rFonts w:ascii="Arial" w:eastAsia="Arial" w:hAnsi="Arial" w:cs="Arial"/>
          <w:b/>
          <w:bCs/>
          <w:sz w:val="20"/>
          <w:szCs w:val="20"/>
        </w:rPr>
      </w:pPr>
      <w:r>
        <w:rPr>
          <w:rFonts w:ascii="Arial" w:eastAsia="Arial" w:hAnsi="Arial" w:cs="Arial"/>
          <w:b/>
          <w:bCs/>
          <w:sz w:val="20"/>
          <w:szCs w:val="20"/>
        </w:rPr>
        <w:lastRenderedPageBreak/>
        <w:t>Observación</w:t>
      </w:r>
    </w:p>
    <w:p w14:paraId="2E1ECAD6" w14:textId="77777777" w:rsidR="00BE6367" w:rsidRDefault="00C90F6A">
      <w:pPr>
        <w:spacing w:before="280" w:after="280"/>
        <w:jc w:val="both"/>
        <w:rPr>
          <w:rFonts w:ascii="Arial" w:eastAsia="Arial" w:hAnsi="Arial" w:cs="Arial"/>
          <w:sz w:val="20"/>
          <w:szCs w:val="20"/>
        </w:rPr>
      </w:pPr>
      <w:r>
        <w:rPr>
          <w:rFonts w:ascii="Arial" w:eastAsia="Arial" w:hAnsi="Arial" w:cs="Arial"/>
          <w:sz w:val="20"/>
          <w:szCs w:val="20"/>
        </w:rPr>
        <w:t xml:space="preserve">La distribución y cantidad de interfaces USB corresponde al diseño propio de cada fabricante. Actualmente, diversos fabricantes como </w:t>
      </w:r>
      <w:r>
        <w:rPr>
          <w:rFonts w:ascii="Arial" w:eastAsia="Arial" w:hAnsi="Arial" w:cs="Arial"/>
          <w:b/>
          <w:bCs/>
          <w:sz w:val="20"/>
          <w:szCs w:val="20"/>
        </w:rPr>
        <w:t>SMART Technologies, Promethean, Samsung, LG, ViewSonic y BenQ</w:t>
      </w:r>
      <w:r>
        <w:rPr>
          <w:rFonts w:ascii="Arial" w:eastAsia="Arial" w:hAnsi="Arial" w:cs="Arial"/>
          <w:sz w:val="20"/>
          <w:szCs w:val="20"/>
        </w:rPr>
        <w:t xml:space="preserve"> han migrado parte de su conectividad hacia </w:t>
      </w:r>
      <w:r>
        <w:rPr>
          <w:rFonts w:ascii="Arial" w:eastAsia="Arial" w:hAnsi="Arial" w:cs="Arial"/>
          <w:b/>
          <w:bCs/>
          <w:sz w:val="20"/>
          <w:szCs w:val="20"/>
        </w:rPr>
        <w:t>USB Tipo C</w:t>
      </w:r>
      <w:r>
        <w:rPr>
          <w:rFonts w:ascii="Arial" w:eastAsia="Arial" w:hAnsi="Arial" w:cs="Arial"/>
          <w:sz w:val="20"/>
          <w:szCs w:val="20"/>
        </w:rPr>
        <w:t>, reduciendo la cantidad de puertos USB Tipo A sin afectar la funcionalidad de la solución.</w:t>
      </w:r>
    </w:p>
    <w:p w14:paraId="6E584D21" w14:textId="77777777" w:rsidR="00BE6367" w:rsidRDefault="00C90F6A">
      <w:pPr>
        <w:spacing w:before="280" w:after="280"/>
        <w:jc w:val="both"/>
        <w:rPr>
          <w:rFonts w:ascii="Arial" w:eastAsia="Arial" w:hAnsi="Arial" w:cs="Arial"/>
          <w:sz w:val="20"/>
          <w:szCs w:val="20"/>
        </w:rPr>
      </w:pPr>
      <w:r>
        <w:rPr>
          <w:rFonts w:ascii="Arial" w:eastAsia="Arial" w:hAnsi="Arial" w:cs="Arial"/>
          <w:sz w:val="20"/>
          <w:szCs w:val="20"/>
        </w:rPr>
        <w:t>Exigir un número específico de puertos USB Tipo A puede limitar la participación de equipos que ofrecen una arquitectura de conectividad diferente, pero técnicamente equivalente.</w:t>
      </w:r>
    </w:p>
    <w:p w14:paraId="4C93DF94" w14:textId="77777777" w:rsidR="00BE6367" w:rsidRDefault="00C90F6A">
      <w:pPr>
        <w:spacing w:before="280" w:after="280"/>
        <w:jc w:val="both"/>
        <w:rPr>
          <w:rFonts w:ascii="Arial" w:eastAsia="Arial" w:hAnsi="Arial" w:cs="Arial"/>
          <w:b/>
          <w:bCs/>
          <w:sz w:val="20"/>
          <w:szCs w:val="20"/>
        </w:rPr>
      </w:pPr>
      <w:r>
        <w:rPr>
          <w:rFonts w:ascii="Arial" w:eastAsia="Arial" w:hAnsi="Arial" w:cs="Arial"/>
          <w:b/>
          <w:bCs/>
          <w:sz w:val="20"/>
          <w:szCs w:val="20"/>
        </w:rPr>
        <w:t>Solicitud</w:t>
      </w:r>
    </w:p>
    <w:p w14:paraId="5FF4FC84" w14:textId="77777777" w:rsidR="00BE6367" w:rsidRDefault="00C90F6A">
      <w:pPr>
        <w:spacing w:before="280" w:after="280"/>
        <w:jc w:val="both"/>
        <w:rPr>
          <w:rFonts w:ascii="Arial" w:eastAsia="Arial" w:hAnsi="Arial" w:cs="Arial"/>
          <w:sz w:val="20"/>
          <w:szCs w:val="20"/>
        </w:rPr>
      </w:pPr>
      <w:r>
        <w:rPr>
          <w:rFonts w:ascii="Arial" w:eastAsia="Arial" w:hAnsi="Arial" w:cs="Arial"/>
          <w:sz w:val="20"/>
          <w:szCs w:val="20"/>
        </w:rPr>
        <w:t xml:space="preserve">Solicitamos establecer un número mínimo de interfaces USB, permitiendo configuraciones equivalentes que incluyan puertos </w:t>
      </w:r>
      <w:r>
        <w:rPr>
          <w:rFonts w:ascii="Arial" w:eastAsia="Arial" w:hAnsi="Arial" w:cs="Arial"/>
          <w:b/>
          <w:bCs/>
          <w:sz w:val="20"/>
          <w:szCs w:val="20"/>
        </w:rPr>
        <w:t>USB Tipo A y/o USB Tipo C</w:t>
      </w:r>
      <w:r>
        <w:rPr>
          <w:rFonts w:ascii="Arial" w:eastAsia="Arial" w:hAnsi="Arial" w:cs="Arial"/>
          <w:sz w:val="20"/>
          <w:szCs w:val="20"/>
        </w:rPr>
        <w:t>, siempre que se garantice la funcionalidad requerida.</w:t>
      </w:r>
    </w:p>
    <w:p w14:paraId="5488464B" w14:textId="77777777" w:rsidR="00BE6367" w:rsidRDefault="00C90F6A">
      <w:pPr>
        <w:spacing w:before="280" w:after="280"/>
        <w:jc w:val="both"/>
        <w:rPr>
          <w:rFonts w:ascii="Arial" w:eastAsia="Arial" w:hAnsi="Arial" w:cs="Arial"/>
          <w:b/>
          <w:bCs/>
          <w:sz w:val="20"/>
          <w:szCs w:val="20"/>
        </w:rPr>
      </w:pPr>
      <w:r>
        <w:rPr>
          <w:rFonts w:ascii="Arial" w:eastAsia="Arial" w:hAnsi="Arial" w:cs="Arial"/>
          <w:b/>
          <w:bCs/>
          <w:sz w:val="20"/>
          <w:szCs w:val="20"/>
        </w:rPr>
        <w:t>RESPUESTA A OBSERVACIÓN:</w:t>
      </w:r>
    </w:p>
    <w:p w14:paraId="0AFD8C22" w14:textId="77777777" w:rsidR="00BE6367" w:rsidRDefault="00C90F6A">
      <w:pPr>
        <w:spacing w:before="280" w:after="280"/>
        <w:jc w:val="both"/>
        <w:rPr>
          <w:rFonts w:ascii="Arial" w:eastAsia="Arial" w:hAnsi="Arial" w:cs="Arial"/>
          <w:sz w:val="20"/>
          <w:szCs w:val="20"/>
        </w:rPr>
      </w:pPr>
      <w:r>
        <w:rPr>
          <w:rFonts w:ascii="Arial" w:eastAsia="Arial" w:hAnsi="Arial" w:cs="Arial"/>
          <w:sz w:val="20"/>
          <w:szCs w:val="20"/>
        </w:rPr>
        <w:t xml:space="preserve">Este mismo requerimiento, relativo a la cantidad y tipo de interfaces USB Tipo A exigidas, ya fue objeto de pronunciamiento por parte de la Entidad con ocasión de observaciones similares formuladas por otros proponentes dentro del presente proceso, en las cuales se precisó que dichas interfaces podrán corresponder a puertos USB Tipo A, USB Tipo C, o una combinación de ambos, siempre que se garantice la misma funcionalidad de conectividad de periféricos exigida en la ficha técnica, incluyendo, de ser necesario, los adaptadores correspondientes para asegurar la compatibilidad con los periféricos de uso común de la Entidad. </w:t>
      </w:r>
    </w:p>
    <w:p w14:paraId="3BF5A282" w14:textId="77777777" w:rsidR="00BE6367" w:rsidRDefault="00000000">
      <w:pPr>
        <w:jc w:val="both"/>
        <w:rPr>
          <w:rFonts w:ascii="Arial" w:eastAsia="Arial" w:hAnsi="Arial" w:cs="Arial"/>
          <w:sz w:val="20"/>
          <w:szCs w:val="20"/>
        </w:rPr>
      </w:pPr>
      <w:r>
        <w:pict w14:anchorId="135D18C2">
          <v:rect id="_x0000_i1103" style="width:0;height:1.5pt" o:hralign="center" o:hrstd="t" o:hr="t" fillcolor="#a0a0a0" stroked="f"/>
        </w:pict>
      </w:r>
    </w:p>
    <w:p w14:paraId="59682ADE" w14:textId="77777777" w:rsidR="00BE6367" w:rsidRDefault="00C90F6A">
      <w:pPr>
        <w:spacing w:before="280" w:after="280"/>
        <w:jc w:val="both"/>
        <w:rPr>
          <w:rFonts w:ascii="Arial" w:eastAsia="Arial" w:hAnsi="Arial" w:cs="Arial"/>
          <w:b/>
          <w:bCs/>
          <w:sz w:val="20"/>
          <w:szCs w:val="20"/>
        </w:rPr>
      </w:pPr>
      <w:r>
        <w:rPr>
          <w:rFonts w:ascii="Arial" w:eastAsia="Arial" w:hAnsi="Arial" w:cs="Arial"/>
          <w:b/>
          <w:bCs/>
          <w:sz w:val="20"/>
          <w:szCs w:val="20"/>
        </w:rPr>
        <w:t>Observación No. 3 – Número específico de entradas HDMI</w:t>
      </w:r>
    </w:p>
    <w:p w14:paraId="0C417818" w14:textId="77777777" w:rsidR="00BE6367" w:rsidRDefault="00C90F6A">
      <w:pPr>
        <w:spacing w:before="280" w:after="280"/>
        <w:jc w:val="both"/>
        <w:rPr>
          <w:rFonts w:ascii="Arial" w:eastAsia="Arial" w:hAnsi="Arial" w:cs="Arial"/>
          <w:sz w:val="20"/>
          <w:szCs w:val="20"/>
        </w:rPr>
      </w:pPr>
      <w:r>
        <w:rPr>
          <w:rFonts w:ascii="Arial" w:eastAsia="Arial" w:hAnsi="Arial" w:cs="Arial"/>
          <w:b/>
          <w:bCs/>
          <w:sz w:val="20"/>
          <w:szCs w:val="20"/>
        </w:rPr>
        <w:t>Requisito observado</w:t>
      </w:r>
    </w:p>
    <w:p w14:paraId="46A8E458" w14:textId="77777777" w:rsidR="00BE6367" w:rsidRDefault="00C90F6A">
      <w:pPr>
        <w:spacing w:before="280" w:after="280"/>
        <w:jc w:val="both"/>
        <w:rPr>
          <w:rFonts w:ascii="Arial" w:eastAsia="Arial" w:hAnsi="Arial" w:cs="Arial"/>
          <w:sz w:val="20"/>
          <w:szCs w:val="20"/>
        </w:rPr>
      </w:pPr>
      <w:r>
        <w:rPr>
          <w:rFonts w:ascii="Arial" w:eastAsia="Arial" w:hAnsi="Arial" w:cs="Arial"/>
          <w:sz w:val="20"/>
          <w:szCs w:val="20"/>
        </w:rPr>
        <w:t>Tres (3) entradas HDMI.</w:t>
      </w:r>
    </w:p>
    <w:p w14:paraId="584CE393" w14:textId="77777777" w:rsidR="00BE6367" w:rsidRDefault="00C90F6A">
      <w:pPr>
        <w:spacing w:before="280" w:after="280"/>
        <w:jc w:val="both"/>
        <w:rPr>
          <w:rFonts w:ascii="Arial" w:eastAsia="Arial" w:hAnsi="Arial" w:cs="Arial"/>
          <w:b/>
          <w:bCs/>
          <w:sz w:val="20"/>
          <w:szCs w:val="20"/>
        </w:rPr>
      </w:pPr>
      <w:r>
        <w:rPr>
          <w:rFonts w:ascii="Arial" w:eastAsia="Arial" w:hAnsi="Arial" w:cs="Arial"/>
          <w:b/>
          <w:bCs/>
          <w:sz w:val="20"/>
          <w:szCs w:val="20"/>
        </w:rPr>
        <w:t>Observación</w:t>
      </w:r>
    </w:p>
    <w:p w14:paraId="18C375EA" w14:textId="77777777" w:rsidR="00BE6367" w:rsidRDefault="00C90F6A">
      <w:pPr>
        <w:spacing w:before="280" w:after="280"/>
        <w:jc w:val="both"/>
        <w:rPr>
          <w:rFonts w:ascii="Arial" w:eastAsia="Arial" w:hAnsi="Arial" w:cs="Arial"/>
          <w:sz w:val="20"/>
          <w:szCs w:val="20"/>
        </w:rPr>
      </w:pPr>
      <w:r>
        <w:rPr>
          <w:rFonts w:ascii="Arial" w:eastAsia="Arial" w:hAnsi="Arial" w:cs="Arial"/>
          <w:sz w:val="20"/>
          <w:szCs w:val="20"/>
        </w:rPr>
        <w:t xml:space="preserve">El número y tipo de interfaces de video varía entre fabricantes. Algunas soluciones incorporan dos entradas HDMI complementadas con </w:t>
      </w:r>
      <w:r>
        <w:rPr>
          <w:rFonts w:ascii="Arial" w:eastAsia="Arial" w:hAnsi="Arial" w:cs="Arial"/>
          <w:b/>
          <w:bCs/>
          <w:sz w:val="20"/>
          <w:szCs w:val="20"/>
        </w:rPr>
        <w:t>DisplayPort</w:t>
      </w:r>
      <w:r>
        <w:rPr>
          <w:rFonts w:ascii="Arial" w:eastAsia="Arial" w:hAnsi="Arial" w:cs="Arial"/>
          <w:sz w:val="20"/>
          <w:szCs w:val="20"/>
        </w:rPr>
        <w:t xml:space="preserve"> o </w:t>
      </w:r>
      <w:r>
        <w:rPr>
          <w:rFonts w:ascii="Arial" w:eastAsia="Arial" w:hAnsi="Arial" w:cs="Arial"/>
          <w:b/>
          <w:bCs/>
          <w:sz w:val="20"/>
          <w:szCs w:val="20"/>
        </w:rPr>
        <w:t>USB Tipo C con transmisión de video</w:t>
      </w:r>
      <w:r>
        <w:rPr>
          <w:rFonts w:ascii="Arial" w:eastAsia="Arial" w:hAnsi="Arial" w:cs="Arial"/>
          <w:sz w:val="20"/>
          <w:szCs w:val="20"/>
        </w:rPr>
        <w:t>, ofreciendo la misma funcionalidad y flexibilidad de conexión.</w:t>
      </w:r>
    </w:p>
    <w:p w14:paraId="1D8F60FC" w14:textId="77777777" w:rsidR="00BE6367" w:rsidRDefault="00C90F6A">
      <w:pPr>
        <w:spacing w:before="280" w:after="280"/>
        <w:jc w:val="both"/>
        <w:rPr>
          <w:rFonts w:ascii="Arial" w:eastAsia="Arial" w:hAnsi="Arial" w:cs="Arial"/>
          <w:sz w:val="20"/>
          <w:szCs w:val="20"/>
        </w:rPr>
      </w:pPr>
      <w:r>
        <w:rPr>
          <w:rFonts w:ascii="Arial" w:eastAsia="Arial" w:hAnsi="Arial" w:cs="Arial"/>
          <w:sz w:val="20"/>
          <w:szCs w:val="20"/>
        </w:rPr>
        <w:t>Restringir la configuración a un número específico de puertos HDMI puede excluir soluciones con arquitecturas modernas que cumplen plenamente el propósito funcional de la Entidad.</w:t>
      </w:r>
    </w:p>
    <w:p w14:paraId="20886842" w14:textId="77777777" w:rsidR="00BE6367" w:rsidRDefault="00C90F6A">
      <w:pPr>
        <w:spacing w:before="280" w:after="280"/>
        <w:jc w:val="both"/>
        <w:rPr>
          <w:rFonts w:ascii="Arial" w:eastAsia="Arial" w:hAnsi="Arial" w:cs="Arial"/>
          <w:b/>
          <w:bCs/>
          <w:sz w:val="20"/>
          <w:szCs w:val="20"/>
        </w:rPr>
      </w:pPr>
      <w:r>
        <w:rPr>
          <w:rFonts w:ascii="Arial" w:eastAsia="Arial" w:hAnsi="Arial" w:cs="Arial"/>
          <w:b/>
          <w:bCs/>
          <w:sz w:val="20"/>
          <w:szCs w:val="20"/>
        </w:rPr>
        <w:t>Solicitud</w:t>
      </w:r>
    </w:p>
    <w:p w14:paraId="2C14751C" w14:textId="77777777" w:rsidR="00BE6367" w:rsidRDefault="00C90F6A">
      <w:pPr>
        <w:spacing w:before="280" w:after="280"/>
        <w:jc w:val="both"/>
        <w:rPr>
          <w:rFonts w:ascii="Arial" w:eastAsia="Arial" w:hAnsi="Arial" w:cs="Arial"/>
          <w:sz w:val="20"/>
          <w:szCs w:val="20"/>
        </w:rPr>
      </w:pPr>
      <w:r>
        <w:rPr>
          <w:rFonts w:ascii="Arial" w:eastAsia="Arial" w:hAnsi="Arial" w:cs="Arial"/>
          <w:sz w:val="20"/>
          <w:szCs w:val="20"/>
        </w:rPr>
        <w:t>Solicitamos permitir configuraciones equivalentes de interfaces de video que garanticen la conexión simultánea de los dispositivos requeridos, independientemente de la distribución de los puertos implementada por el fabricante.</w:t>
      </w:r>
    </w:p>
    <w:p w14:paraId="27DD7170" w14:textId="77777777" w:rsidR="00BE6367" w:rsidRDefault="00BE6367">
      <w:pPr>
        <w:spacing w:before="280" w:after="280"/>
        <w:jc w:val="both"/>
        <w:rPr>
          <w:rFonts w:ascii="Arial" w:eastAsia="Arial" w:hAnsi="Arial" w:cs="Arial"/>
          <w:sz w:val="20"/>
          <w:szCs w:val="20"/>
        </w:rPr>
      </w:pPr>
    </w:p>
    <w:p w14:paraId="7555AD5A" w14:textId="77777777" w:rsidR="00BE6367" w:rsidRDefault="00C90F6A">
      <w:pPr>
        <w:spacing w:before="280" w:after="280"/>
        <w:jc w:val="both"/>
        <w:rPr>
          <w:rFonts w:ascii="Arial" w:eastAsia="Arial" w:hAnsi="Arial" w:cs="Arial"/>
          <w:b/>
          <w:bCs/>
          <w:sz w:val="20"/>
          <w:szCs w:val="20"/>
        </w:rPr>
      </w:pPr>
      <w:r>
        <w:rPr>
          <w:rFonts w:ascii="Arial" w:eastAsia="Arial" w:hAnsi="Arial" w:cs="Arial"/>
          <w:b/>
          <w:bCs/>
          <w:sz w:val="20"/>
          <w:szCs w:val="20"/>
        </w:rPr>
        <w:t>RESPUESTA OBSERVACIÓN:</w:t>
      </w:r>
    </w:p>
    <w:p w14:paraId="72E84376"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lastRenderedPageBreak/>
        <w:t>Se acepta la observación. En aplicación de los principios de libre concurrencia y selección objetiva (art. 5 Ley 1150 de 2007), y con el propósito de ampliar la pluralidad de oferentes sin afectar el desempeño funcional requerido, la Entidad precisa que la funcionalidad de conexión simultánea de dispositivos puede lograrse mediante distintas combinaciones de interfaces de video (HDMI, DisplayPort, USB Tipo C con transmisión de video), en atención a que la distribución de dichas interfaces corresponde a una decisión de diseño propia de cada fabricante.</w:t>
      </w:r>
    </w:p>
    <w:p w14:paraId="53710A1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se admitirá que el equipo cuente con un mínimo de tres (3) entradas de video en total, entre las cuales al menos una (1) deberá corresponder a interfaz HDMI, pudiendo las restantes ser HDMI, DisplayPort, o USB Tipo C con soporte de transmisión de video (DisplayPort Alt Mode o equivalente), siempre que el proponente acredite, mediante ficha técnica del fabricante, que dichas interfaces garantizan la misma funcionalidad de conexión simultánea de los dispositivos requeridos para el uso previsto del equipo.</w:t>
      </w:r>
    </w:p>
    <w:p w14:paraId="329DEB4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ficha técnica será ajustada para exigir "mínimo tres (3) entradas de video, de las cuales al menos una deberá ser HDMI, admitiéndose las restantes en HDMI, DisplayPort o USB Tipo C con transmisión de video", precisión que amplía las alternativas tecnológicas admisibles sin disminuir el estándar funcional exigido por la Entidad.</w:t>
      </w:r>
    </w:p>
    <w:p w14:paraId="6F58D0F8" w14:textId="77777777" w:rsidR="00BE6367" w:rsidRDefault="00000000">
      <w:pPr>
        <w:jc w:val="both"/>
        <w:rPr>
          <w:rFonts w:ascii="Arial" w:eastAsia="Arial" w:hAnsi="Arial" w:cs="Arial"/>
          <w:sz w:val="20"/>
          <w:szCs w:val="20"/>
        </w:rPr>
      </w:pPr>
      <w:r>
        <w:pict w14:anchorId="758B88AA">
          <v:rect id="_x0000_i1104" style="width:0;height:1.5pt" o:hralign="center" o:hrstd="t" o:hr="t" fillcolor="#a0a0a0" stroked="f"/>
        </w:pict>
      </w:r>
    </w:p>
    <w:p w14:paraId="3D55BECB" w14:textId="77777777" w:rsidR="00BE6367" w:rsidRDefault="00C90F6A">
      <w:pPr>
        <w:spacing w:before="280" w:after="280"/>
        <w:jc w:val="both"/>
        <w:rPr>
          <w:rFonts w:ascii="Arial" w:eastAsia="Arial" w:hAnsi="Arial" w:cs="Arial"/>
          <w:b/>
          <w:bCs/>
          <w:sz w:val="20"/>
          <w:szCs w:val="20"/>
        </w:rPr>
      </w:pPr>
      <w:r>
        <w:rPr>
          <w:rFonts w:ascii="Arial" w:eastAsia="Arial" w:hAnsi="Arial" w:cs="Arial"/>
          <w:b/>
          <w:bCs/>
          <w:sz w:val="20"/>
          <w:szCs w:val="20"/>
        </w:rPr>
        <w:t>Observación No. 4 – Combinación de especificaciones que limita la pluralidad de oferentes</w:t>
      </w:r>
    </w:p>
    <w:p w14:paraId="1D853F99" w14:textId="77777777" w:rsidR="00BE6367" w:rsidRDefault="00C90F6A">
      <w:pPr>
        <w:spacing w:before="280" w:after="280"/>
        <w:jc w:val="both"/>
        <w:rPr>
          <w:rFonts w:ascii="Arial" w:eastAsia="Arial" w:hAnsi="Arial" w:cs="Arial"/>
          <w:sz w:val="20"/>
          <w:szCs w:val="20"/>
        </w:rPr>
      </w:pPr>
      <w:r>
        <w:rPr>
          <w:rFonts w:ascii="Arial" w:eastAsia="Arial" w:hAnsi="Arial" w:cs="Arial"/>
          <w:b/>
          <w:bCs/>
          <w:sz w:val="20"/>
          <w:szCs w:val="20"/>
        </w:rPr>
        <w:t>Requisito observado</w:t>
      </w:r>
    </w:p>
    <w:p w14:paraId="1BE59FDC" w14:textId="77777777" w:rsidR="00BE6367" w:rsidRDefault="00C90F6A">
      <w:pPr>
        <w:spacing w:before="280" w:after="280"/>
        <w:jc w:val="both"/>
        <w:rPr>
          <w:rFonts w:ascii="Arial" w:eastAsia="Arial" w:hAnsi="Arial" w:cs="Arial"/>
          <w:sz w:val="20"/>
          <w:szCs w:val="20"/>
        </w:rPr>
      </w:pPr>
      <w:r>
        <w:rPr>
          <w:rFonts w:ascii="Arial" w:eastAsia="Arial" w:hAnsi="Arial" w:cs="Arial"/>
          <w:sz w:val="20"/>
          <w:szCs w:val="20"/>
        </w:rPr>
        <w:t>Conjunto de especificaciones técnicas del monitor táctil interactivo de 75".</w:t>
      </w:r>
    </w:p>
    <w:p w14:paraId="53327524" w14:textId="77777777" w:rsidR="00BE6367" w:rsidRDefault="00C90F6A">
      <w:pPr>
        <w:spacing w:before="280" w:after="280"/>
        <w:jc w:val="both"/>
        <w:rPr>
          <w:rFonts w:ascii="Arial" w:eastAsia="Arial" w:hAnsi="Arial" w:cs="Arial"/>
          <w:b/>
          <w:bCs/>
          <w:sz w:val="20"/>
          <w:szCs w:val="20"/>
        </w:rPr>
      </w:pPr>
      <w:r>
        <w:rPr>
          <w:rFonts w:ascii="Arial" w:eastAsia="Arial" w:hAnsi="Arial" w:cs="Arial"/>
          <w:b/>
          <w:bCs/>
          <w:sz w:val="20"/>
          <w:szCs w:val="20"/>
        </w:rPr>
        <w:t>Observación</w:t>
      </w:r>
    </w:p>
    <w:p w14:paraId="51C4C516" w14:textId="77777777" w:rsidR="00BE6367" w:rsidRDefault="00C90F6A">
      <w:pPr>
        <w:spacing w:before="280" w:after="280"/>
        <w:jc w:val="both"/>
        <w:rPr>
          <w:rFonts w:ascii="Arial" w:eastAsia="Arial" w:hAnsi="Arial" w:cs="Arial"/>
          <w:sz w:val="20"/>
          <w:szCs w:val="20"/>
        </w:rPr>
      </w:pPr>
      <w:r>
        <w:rPr>
          <w:rFonts w:ascii="Arial" w:eastAsia="Arial" w:hAnsi="Arial" w:cs="Arial"/>
          <w:sz w:val="20"/>
          <w:szCs w:val="20"/>
        </w:rPr>
        <w:t xml:space="preserve">Si bien varias de las especificaciones pueden resultar razonables de manera individual, la combinación de requisitos como la exigencia de </w:t>
      </w:r>
      <w:r>
        <w:rPr>
          <w:rFonts w:ascii="Arial" w:eastAsia="Arial" w:hAnsi="Arial" w:cs="Arial"/>
          <w:b/>
          <w:bCs/>
          <w:sz w:val="20"/>
          <w:szCs w:val="20"/>
        </w:rPr>
        <w:t>50 puntos táctiles</w:t>
      </w:r>
      <w:r>
        <w:rPr>
          <w:rFonts w:ascii="Arial" w:eastAsia="Arial" w:hAnsi="Arial" w:cs="Arial"/>
          <w:sz w:val="20"/>
          <w:szCs w:val="20"/>
        </w:rPr>
        <w:t xml:space="preserve">, una configuración específica de </w:t>
      </w:r>
      <w:r>
        <w:rPr>
          <w:rFonts w:ascii="Arial" w:eastAsia="Arial" w:hAnsi="Arial" w:cs="Arial"/>
          <w:b/>
          <w:bCs/>
          <w:sz w:val="20"/>
          <w:szCs w:val="20"/>
        </w:rPr>
        <w:t>cinco puertos USB Tipo A</w:t>
      </w:r>
      <w:r>
        <w:rPr>
          <w:rFonts w:ascii="Arial" w:eastAsia="Arial" w:hAnsi="Arial" w:cs="Arial"/>
          <w:sz w:val="20"/>
          <w:szCs w:val="20"/>
        </w:rPr>
        <w:t xml:space="preserve">, </w:t>
      </w:r>
      <w:r>
        <w:rPr>
          <w:rFonts w:ascii="Arial" w:eastAsia="Arial" w:hAnsi="Arial" w:cs="Arial"/>
          <w:b/>
          <w:bCs/>
          <w:sz w:val="20"/>
          <w:szCs w:val="20"/>
        </w:rPr>
        <w:t>dos puertos USB Tipo C</w:t>
      </w:r>
      <w:r>
        <w:rPr>
          <w:rFonts w:ascii="Arial" w:eastAsia="Arial" w:hAnsi="Arial" w:cs="Arial"/>
          <w:sz w:val="20"/>
          <w:szCs w:val="20"/>
        </w:rPr>
        <w:t xml:space="preserve"> y </w:t>
      </w:r>
      <w:r>
        <w:rPr>
          <w:rFonts w:ascii="Arial" w:eastAsia="Arial" w:hAnsi="Arial" w:cs="Arial"/>
          <w:b/>
          <w:bCs/>
          <w:sz w:val="20"/>
          <w:szCs w:val="20"/>
        </w:rPr>
        <w:t>tres entradas HDMI</w:t>
      </w:r>
      <w:r>
        <w:rPr>
          <w:rFonts w:ascii="Arial" w:eastAsia="Arial" w:hAnsi="Arial" w:cs="Arial"/>
          <w:sz w:val="20"/>
          <w:szCs w:val="20"/>
        </w:rPr>
        <w:t xml:space="preserve"> reduce el número de soluciones disponibles que pueden cumplir simultáneamente la totalidad de la ficha técnica.</w:t>
      </w:r>
    </w:p>
    <w:p w14:paraId="04C9C320" w14:textId="77777777" w:rsidR="00BE6367" w:rsidRDefault="00C90F6A">
      <w:pPr>
        <w:spacing w:before="280" w:after="280"/>
        <w:jc w:val="both"/>
        <w:rPr>
          <w:rFonts w:ascii="Arial" w:eastAsia="Arial" w:hAnsi="Arial" w:cs="Arial"/>
          <w:sz w:val="20"/>
          <w:szCs w:val="20"/>
        </w:rPr>
      </w:pPr>
      <w:r>
        <w:rPr>
          <w:rFonts w:ascii="Arial" w:eastAsia="Arial" w:hAnsi="Arial" w:cs="Arial"/>
          <w:sz w:val="20"/>
          <w:szCs w:val="20"/>
        </w:rPr>
        <w:t xml:space="preserve">Fabricantes de amplia trayectoria como </w:t>
      </w:r>
      <w:r>
        <w:rPr>
          <w:rFonts w:ascii="Arial" w:eastAsia="Arial" w:hAnsi="Arial" w:cs="Arial"/>
          <w:b/>
          <w:bCs/>
          <w:sz w:val="20"/>
          <w:szCs w:val="20"/>
        </w:rPr>
        <w:t>SMART Technologies, Promethean, ViewSonic, BenQ, Samsung, LG y Newline</w:t>
      </w:r>
      <w:r>
        <w:rPr>
          <w:rFonts w:ascii="Arial" w:eastAsia="Arial" w:hAnsi="Arial" w:cs="Arial"/>
          <w:sz w:val="20"/>
          <w:szCs w:val="20"/>
        </w:rPr>
        <w:t xml:space="preserve"> implementan arquitecturas de conectividad diferentes, pero con prestaciones equivalentes para entornos corporativos y educativos.</w:t>
      </w:r>
    </w:p>
    <w:p w14:paraId="4B4F45D7" w14:textId="77777777" w:rsidR="00BE6367" w:rsidRDefault="00C90F6A">
      <w:pPr>
        <w:spacing w:before="280" w:after="280"/>
        <w:jc w:val="both"/>
        <w:rPr>
          <w:rFonts w:ascii="Arial" w:eastAsia="Arial" w:hAnsi="Arial" w:cs="Arial"/>
          <w:sz w:val="20"/>
          <w:szCs w:val="20"/>
        </w:rPr>
      </w:pPr>
      <w:r>
        <w:rPr>
          <w:rFonts w:ascii="Arial" w:eastAsia="Arial" w:hAnsi="Arial" w:cs="Arial"/>
          <w:sz w:val="20"/>
          <w:szCs w:val="20"/>
        </w:rPr>
        <w:t xml:space="preserve">En aplicación de los principios de </w:t>
      </w:r>
      <w:r>
        <w:rPr>
          <w:rFonts w:ascii="Arial" w:eastAsia="Arial" w:hAnsi="Arial" w:cs="Arial"/>
          <w:b/>
          <w:bCs/>
          <w:sz w:val="20"/>
          <w:szCs w:val="20"/>
        </w:rPr>
        <w:t>libre concurrencia, selección objetiva y pluralidad de oferentes</w:t>
      </w:r>
      <w:r>
        <w:rPr>
          <w:rFonts w:ascii="Arial" w:eastAsia="Arial" w:hAnsi="Arial" w:cs="Arial"/>
          <w:sz w:val="20"/>
          <w:szCs w:val="20"/>
        </w:rPr>
        <w:t>, se recomienda privilegiar las funcionalidades requeridas sobre configuraciones particulares de hardware que responden al diseño propio de cada fabricante.</w:t>
      </w:r>
    </w:p>
    <w:p w14:paraId="3B37312E" w14:textId="77777777" w:rsidR="00BE6367" w:rsidRDefault="00C90F6A">
      <w:pPr>
        <w:spacing w:before="280" w:after="280"/>
        <w:jc w:val="both"/>
        <w:rPr>
          <w:rFonts w:ascii="Arial" w:eastAsia="Arial" w:hAnsi="Arial" w:cs="Arial"/>
          <w:b/>
          <w:bCs/>
          <w:sz w:val="20"/>
          <w:szCs w:val="20"/>
        </w:rPr>
      </w:pPr>
      <w:r>
        <w:rPr>
          <w:rFonts w:ascii="Arial" w:eastAsia="Arial" w:hAnsi="Arial" w:cs="Arial"/>
          <w:b/>
          <w:bCs/>
          <w:sz w:val="20"/>
          <w:szCs w:val="20"/>
        </w:rPr>
        <w:t>Solicitud</w:t>
      </w:r>
    </w:p>
    <w:p w14:paraId="4F669703" w14:textId="77777777" w:rsidR="00BE6367" w:rsidRDefault="00C90F6A">
      <w:pPr>
        <w:spacing w:before="280" w:after="280"/>
        <w:jc w:val="both"/>
        <w:rPr>
          <w:rFonts w:ascii="Arial" w:eastAsia="Arial" w:hAnsi="Arial" w:cs="Arial"/>
          <w:sz w:val="20"/>
          <w:szCs w:val="20"/>
        </w:rPr>
      </w:pPr>
      <w:r>
        <w:rPr>
          <w:rFonts w:ascii="Arial" w:eastAsia="Arial" w:hAnsi="Arial" w:cs="Arial"/>
          <w:sz w:val="20"/>
          <w:szCs w:val="20"/>
        </w:rPr>
        <w:t>Solicitamos revisar integralmente la ficha técnica y permitir configuraciones de conectividad técnicamente equivalentes que garanticen el cumplimiento de las necesidades de la Entidad, sin restringir injustificadamente la participación de oferentes.</w:t>
      </w:r>
    </w:p>
    <w:p w14:paraId="2DBC3E1C"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RESPUESTA A OBSERVACIÓN:</w:t>
      </w:r>
    </w:p>
    <w:p w14:paraId="29A780DB"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lastRenderedPageBreak/>
        <w:t>Se acepta parcialmente la observación. La Entidad precisa que, en el curso del presente proceso, ya se incorporaron ajustes orientados a ampliar la pluralidad de oferentes respecto de varios de los elementos señalados por el observante como parte de la combinación cuestionada, en aplicación de los principios de libre concurrencia y selección objetiva (art. 5 Ley 1150 de 2007). En particular: (i) los requisitos de interfaces USB fueron precisados para admitir combinaciones de puertos USB Tipo A y USB Tipo C, siempre que se garantice la funcionalidad de conectividad exigida; y (ii) el requisito de entradas de video fue ajustado para admitir combinaciones de HDMI, DisplayPort y USB Tipo C con transmisión de video, y no exclusivamente entradas HDMI nativas.</w:t>
      </w:r>
    </w:p>
    <w:p w14:paraId="1A070C61"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Respecto de la capacidad multitáctil simultánea, la Entidad ajustará la exigencia a mínimo 30 puntos o superior, conforme a la necesidad funcional identificada para el uso previsto del equipo, precisión que ya fue objeto de pronunciamiento específico en la respuesta a la observación correspondiente sobre este punto.</w:t>
      </w:r>
    </w:p>
    <w:p w14:paraId="1B72AF4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Entidad considera que el proceso, desde su estructuración, se ha mantenido abierto a la participación de todos los proponentes interesados, y que los ajustes progresivamente incorporados en respuesta a las observaciones formuladas amplían la pluralidad de oferentes en materia de conectividad, sin que ello implique una modificación al estándar funcional que la Entidad requiere para el correcto desarrollo del objeto contractual</w:t>
      </w:r>
    </w:p>
    <w:p w14:paraId="19BAAF3A" w14:textId="77777777" w:rsidR="00BE6367" w:rsidRDefault="00C90F6A">
      <w:pPr>
        <w:spacing w:after="120"/>
        <w:jc w:val="both"/>
        <w:rPr>
          <w:rFonts w:ascii="Arial" w:eastAsia="Arial" w:hAnsi="Arial" w:cs="Arial"/>
          <w:sz w:val="20"/>
          <w:szCs w:val="20"/>
        </w:rPr>
      </w:pPr>
      <w:r>
        <w:rPr>
          <w:rFonts w:ascii="Arial" w:eastAsia="Arial" w:hAnsi="Arial" w:cs="Arial"/>
          <w:b/>
          <w:bCs/>
          <w:sz w:val="20"/>
          <w:szCs w:val="20"/>
        </w:rPr>
        <w:t>OBSERVACIONES TÉCNICAS Y JURÍDICAS</w:t>
      </w:r>
    </w:p>
    <w:p w14:paraId="29E110A6" w14:textId="77777777" w:rsidR="00BE6367" w:rsidRDefault="00C90F6A">
      <w:pPr>
        <w:spacing w:after="120"/>
        <w:jc w:val="both"/>
        <w:rPr>
          <w:rFonts w:ascii="Arial" w:eastAsia="Arial" w:hAnsi="Arial" w:cs="Arial"/>
          <w:sz w:val="20"/>
          <w:szCs w:val="20"/>
        </w:rPr>
      </w:pPr>
      <w:r>
        <w:rPr>
          <w:rFonts w:ascii="Arial" w:eastAsia="Arial" w:hAnsi="Arial" w:cs="Arial"/>
          <w:b/>
          <w:bCs/>
          <w:sz w:val="20"/>
          <w:szCs w:val="20"/>
        </w:rPr>
        <w:t>Proceso: “ADQUISICIÓN, IMPLEMENTACIÓN Y SOPORTE TECNOLÓGICO QUE INCLUYA SOLUCIONES AUDIOVISUALES, EQUIPOS DE CÓMPUTO Y PERIFÉRICOS PARA LA PROCURADURÍA GENERAL DE LA NACIÓN”</w:t>
      </w:r>
    </w:p>
    <w:p w14:paraId="3A487C35" w14:textId="77777777" w:rsidR="00BE6367" w:rsidRDefault="00C90F6A">
      <w:pPr>
        <w:spacing w:after="240"/>
        <w:jc w:val="both"/>
        <w:rPr>
          <w:rFonts w:ascii="Arial" w:eastAsia="Arial" w:hAnsi="Arial" w:cs="Arial"/>
          <w:sz w:val="20"/>
          <w:szCs w:val="20"/>
        </w:rPr>
      </w:pPr>
      <w:r>
        <w:rPr>
          <w:rFonts w:ascii="Arial" w:eastAsia="Arial" w:hAnsi="Arial" w:cs="Arial"/>
          <w:i/>
          <w:iCs/>
          <w:sz w:val="20"/>
          <w:szCs w:val="20"/>
        </w:rPr>
        <w:t>Mecanismo: Mercado de Compras Públicas – Bolsa Mercantil de Colombia S.A. | Documentos analizados: Ficha Técnica de Negociación (FTN) y Fichas Técnicas de Producto (FTP) | Fecha del análisis: 10 de julio de 2026</w:t>
      </w:r>
    </w:p>
    <w:p w14:paraId="09D1D72C" w14:textId="77777777" w:rsidR="00BE6367" w:rsidRDefault="00C90F6A">
      <w:pPr>
        <w:pStyle w:val="Heading1"/>
        <w:spacing w:before="320"/>
        <w:jc w:val="both"/>
        <w:rPr>
          <w:rFonts w:ascii="Arial" w:eastAsia="Arial" w:hAnsi="Arial" w:cs="Arial"/>
          <w:sz w:val="20"/>
          <w:szCs w:val="20"/>
        </w:rPr>
      </w:pPr>
      <w:r>
        <w:rPr>
          <w:rFonts w:ascii="Arial" w:eastAsia="Arial" w:hAnsi="Arial" w:cs="Arial"/>
          <w:sz w:val="20"/>
          <w:szCs w:val="20"/>
        </w:rPr>
        <w:t>1. OBJETO Y ALCANCE DEL DOCUMENTO</w:t>
      </w:r>
    </w:p>
    <w:p w14:paraId="52386543"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El presente documento formula observaciones de carácter técnico y jurídico a la Ficha Técnica de Negociación (FTN) y a las Fichas Técnicas de Producto (FTP – formato BMC-MNE-PNG-MP1-FT-1, versión 2) del proceso de la referencia, con énfasis en los bienes clasificados como equipos de cómputo (ítems 1 a 5) y sus periféricos directos (ítems 9, 10 y 11). Todas las citas de especificaciones corresponden a transcripciones literales de dichos documentos. Las verificaciones de mercado se realizaron contra fichas técnicas oficiales de los fabricantes, cuyas fuentes se relacionan al final.</w:t>
      </w:r>
    </w:p>
    <w:p w14:paraId="5891909B" w14:textId="77777777" w:rsidR="00BE6367" w:rsidRDefault="00C90F6A">
      <w:pPr>
        <w:pStyle w:val="Heading1"/>
        <w:spacing w:before="320"/>
        <w:jc w:val="both"/>
        <w:rPr>
          <w:rFonts w:ascii="Arial" w:eastAsia="Arial" w:hAnsi="Arial" w:cs="Arial"/>
          <w:sz w:val="20"/>
          <w:szCs w:val="20"/>
        </w:rPr>
      </w:pPr>
      <w:r>
        <w:rPr>
          <w:rFonts w:ascii="Arial" w:eastAsia="Arial" w:hAnsi="Arial" w:cs="Arial"/>
          <w:sz w:val="20"/>
          <w:szCs w:val="20"/>
        </w:rPr>
        <w:t>2. RESUMEN DEL PROCESO SEGÚN LOS DOCUMENTOS PUBLICADOS</w:t>
      </w:r>
    </w:p>
    <w:p w14:paraId="63657F45" w14:textId="77777777" w:rsidR="00BE6367" w:rsidRDefault="00C90F6A">
      <w:pPr>
        <w:numPr>
          <w:ilvl w:val="0"/>
          <w:numId w:val="52"/>
        </w:numPr>
        <w:spacing w:after="100" w:line="276" w:lineRule="auto"/>
        <w:jc w:val="both"/>
        <w:rPr>
          <w:rFonts w:ascii="Arial" w:eastAsia="Arial" w:hAnsi="Arial" w:cs="Arial"/>
          <w:sz w:val="20"/>
          <w:szCs w:val="20"/>
        </w:rPr>
      </w:pPr>
      <w:r>
        <w:rPr>
          <w:rFonts w:ascii="Arial" w:eastAsia="Arial" w:hAnsi="Arial" w:cs="Arial"/>
          <w:sz w:val="20"/>
          <w:szCs w:val="20"/>
        </w:rPr>
        <w:t>Objeto: adquisición, implementación y soporte tecnológico que incluye soluciones audiovisuales, equipos de cómputo y periféricos (FTN, numeral 2).</w:t>
      </w:r>
    </w:p>
    <w:p w14:paraId="47D068A9" w14:textId="77777777" w:rsidR="00BE6367" w:rsidRDefault="00C90F6A">
      <w:pPr>
        <w:numPr>
          <w:ilvl w:val="0"/>
          <w:numId w:val="52"/>
        </w:numPr>
        <w:spacing w:after="100" w:line="276" w:lineRule="auto"/>
        <w:jc w:val="both"/>
        <w:rPr>
          <w:rFonts w:ascii="Arial" w:eastAsia="Arial" w:hAnsi="Arial" w:cs="Arial"/>
          <w:sz w:val="20"/>
          <w:szCs w:val="20"/>
        </w:rPr>
      </w:pPr>
      <w:r>
        <w:rPr>
          <w:rFonts w:ascii="Arial" w:eastAsia="Arial" w:hAnsi="Arial" w:cs="Arial"/>
          <w:sz w:val="20"/>
          <w:szCs w:val="20"/>
        </w:rPr>
        <w:t>Modalidad: puja por precio por conjunto de bienes, en una (1) sola operación (FTN, numeral 2).</w:t>
      </w:r>
    </w:p>
    <w:p w14:paraId="214BF922" w14:textId="77777777" w:rsidR="00BE6367" w:rsidRDefault="00C90F6A">
      <w:pPr>
        <w:numPr>
          <w:ilvl w:val="0"/>
          <w:numId w:val="52"/>
        </w:numPr>
        <w:spacing w:after="100" w:line="276" w:lineRule="auto"/>
        <w:jc w:val="both"/>
        <w:rPr>
          <w:rFonts w:ascii="Arial" w:eastAsia="Arial" w:hAnsi="Arial" w:cs="Arial"/>
          <w:sz w:val="20"/>
          <w:szCs w:val="20"/>
        </w:rPr>
      </w:pPr>
      <w:r>
        <w:rPr>
          <w:rFonts w:ascii="Arial" w:eastAsia="Arial" w:hAnsi="Arial" w:cs="Arial"/>
          <w:sz w:val="20"/>
          <w:szCs w:val="20"/>
        </w:rPr>
        <w:t>Valor máximo: $51.460.675.487 COP, sin IVA (FTN, numeral 4).</w:t>
      </w:r>
    </w:p>
    <w:p w14:paraId="7AA149BE" w14:textId="77777777" w:rsidR="00BE6367" w:rsidRDefault="00C90F6A">
      <w:pPr>
        <w:numPr>
          <w:ilvl w:val="0"/>
          <w:numId w:val="52"/>
        </w:numPr>
        <w:spacing w:after="100" w:line="276" w:lineRule="auto"/>
        <w:jc w:val="both"/>
        <w:rPr>
          <w:rFonts w:ascii="Arial" w:eastAsia="Arial" w:hAnsi="Arial" w:cs="Arial"/>
          <w:sz w:val="20"/>
          <w:szCs w:val="20"/>
        </w:rPr>
      </w:pPr>
      <w:r>
        <w:rPr>
          <w:rFonts w:ascii="Arial" w:eastAsia="Arial" w:hAnsi="Arial" w:cs="Arial"/>
          <w:sz w:val="20"/>
          <w:szCs w:val="20"/>
        </w:rPr>
        <w:t>57 ítems. El ítem 1 (computador de escritorio tipo AIO avanzado, 3.500 unidades a $12.057.614 c/u) representa aproximadamente $42.201 millones, es decir, cerca del 82% del presupuesto total.</w:t>
      </w:r>
    </w:p>
    <w:p w14:paraId="1896E74D" w14:textId="77777777" w:rsidR="00BE6367" w:rsidRDefault="00C90F6A">
      <w:pPr>
        <w:numPr>
          <w:ilvl w:val="0"/>
          <w:numId w:val="52"/>
        </w:numPr>
        <w:spacing w:after="100" w:line="276" w:lineRule="auto"/>
        <w:jc w:val="both"/>
        <w:rPr>
          <w:rFonts w:ascii="Arial" w:eastAsia="Arial" w:hAnsi="Arial" w:cs="Arial"/>
          <w:sz w:val="20"/>
          <w:szCs w:val="20"/>
        </w:rPr>
      </w:pPr>
      <w:r>
        <w:rPr>
          <w:rFonts w:ascii="Arial" w:eastAsia="Arial" w:hAnsi="Arial" w:cs="Arial"/>
          <w:sz w:val="20"/>
          <w:szCs w:val="20"/>
        </w:rPr>
        <w:t>Plazo de ejecución: hasta el 5 de diciembre de 2026 (FTN, numeral 5). Entrega en la sede central, Carrera 5 # 15-80, Bogotá D.C. (FTN, numeral 6).</w:t>
      </w:r>
    </w:p>
    <w:p w14:paraId="70343063" w14:textId="77777777" w:rsidR="00BE6367" w:rsidRDefault="00C90F6A">
      <w:pPr>
        <w:pStyle w:val="Heading1"/>
        <w:spacing w:before="320"/>
        <w:jc w:val="both"/>
        <w:rPr>
          <w:rFonts w:ascii="Arial" w:eastAsia="Arial" w:hAnsi="Arial" w:cs="Arial"/>
          <w:sz w:val="20"/>
          <w:szCs w:val="20"/>
        </w:rPr>
      </w:pPr>
      <w:r>
        <w:rPr>
          <w:rFonts w:ascii="Arial" w:eastAsia="Arial" w:hAnsi="Arial" w:cs="Arial"/>
          <w:sz w:val="20"/>
          <w:szCs w:val="20"/>
        </w:rPr>
        <w:lastRenderedPageBreak/>
        <w:t>3. OBSERVACIONES TÉCNICAS</w:t>
      </w:r>
    </w:p>
    <w:p w14:paraId="1D3147BE" w14:textId="77777777" w:rsidR="00BE6367" w:rsidRDefault="00C90F6A">
      <w:pPr>
        <w:pStyle w:val="Heading2"/>
        <w:spacing w:before="260" w:after="160"/>
        <w:jc w:val="both"/>
        <w:rPr>
          <w:rFonts w:ascii="Arial" w:eastAsia="Arial" w:hAnsi="Arial" w:cs="Arial"/>
          <w:sz w:val="20"/>
          <w:szCs w:val="20"/>
        </w:rPr>
      </w:pPr>
      <w:r>
        <w:rPr>
          <w:rFonts w:ascii="Arial" w:eastAsia="Arial" w:hAnsi="Arial" w:cs="Arial"/>
          <w:sz w:val="20"/>
          <w:szCs w:val="20"/>
        </w:rPr>
        <w:t>3.1. Ítem 1 – Computador de escritorio tipo AIO avanzado (3.500 unidades)</w:t>
      </w:r>
    </w:p>
    <w:p w14:paraId="069A0E95"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 xml:space="preserve">Observación No. 1 (procesador transcrito de una referencia única). </w:t>
      </w:r>
      <w:r>
        <w:rPr>
          <w:rFonts w:ascii="Arial" w:eastAsia="Arial" w:hAnsi="Arial" w:cs="Arial"/>
          <w:sz w:val="20"/>
          <w:szCs w:val="20"/>
        </w:rPr>
        <w:t>La FTP exige procesador con “velocidad turbo de performance mínimo 5.1 Ghz”, “mínimo 14 cores físicos”, “14 subprocesos”, “cache … nivel 2 … de mínimo 26MB”, “NPU de mínimo 13 TOPS”, “TDP: Base mínima de 65 Watts” y lanzamiento “mínimo en el primer semestre de 2025”. Esta combinación de valores coincide, parámetro por parámetro, con la hoja de especificaciones del procesador Intel Core Ultra 5 245 (arquitectura Arrow Lake-S). La exigencia de que el número de hilos sea igual al número de núcleos (14/14) excluye de plano a los procesadores AMD, que incorporan SMT (2 hilos por núcleo), y la cifra de caché L2 de 26 MB es propia de la microarquitectura Intel citada. En consecuencia, el requisito no admite competencia entre fabricantes de procesadores.</w:t>
      </w:r>
    </w:p>
    <w:p w14:paraId="5F2E1357"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05A8C6B4"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No se acoge la observación. La exigencia de un procesador con velocidad turbo mínima de 5.1 GHz, 14 núcleos físicos, 14 subprocesos, 26 MB de caché L2, NPU de 13 TOPS y TDP base de 65W, con lanzamiento mínimo en el primer semestre de 2025, corresponde a los parámetros mínimos solicitados en la ficha técnica para garantizar el nivel de desempeño requerido por la Entidad.</w:t>
      </w:r>
    </w:p>
    <w:p w14:paraId="36DB8F8E"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Se aclara que estos valores no buscan restringir la participación a un único fabricante, sino establecer un estándar mínimo que asegure desempeño sostenido, estabilidad térmica y energética, y vigencia tecnológica frente a las cargas de trabajo previstas. En el mercado existen múltiples marcas y plataformas que cumplen e incluso superan estas especificaciones, lo que garantiza pluralidad de opciones y libre concurrencia dentro del proceso.</w:t>
      </w:r>
    </w:p>
    <w:p w14:paraId="201EFBDA"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En consecuencia, se mantiene la especificación técnica definida, dado que constituye un parámetro indispensable para asegurar rendimiento, confiabilidad y continuidad operativa en los escenarios de uso institucional.</w:t>
      </w:r>
    </w:p>
    <w:p w14:paraId="5FB095B0"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 xml:space="preserve">Observación No. 2 (mención expresa de marca). </w:t>
      </w:r>
      <w:r>
        <w:rPr>
          <w:rFonts w:ascii="Arial" w:eastAsia="Arial" w:hAnsi="Arial" w:cs="Arial"/>
          <w:sz w:val="20"/>
          <w:szCs w:val="20"/>
        </w:rPr>
        <w:t>La FTP exige textualmente “WIFI: Intel Wireless card Wifi 7 integrada” y administración remota “fuera de banda para integración con EMA”. “Intel” es una marca comercial y “EMA” corresponde a Intel Endpoint Management Assistant, herramienta propietaria de Intel Corporation. Con ello se impone contractualmente una plataforma de un único fabricante de silicio, sin fórmula “o equivalente”.</w:t>
      </w:r>
    </w:p>
    <w:p w14:paraId="146B6352"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76CE0738"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Se acoge parcialmente la observación. Se suprime el término Intel y se mantiene únicamente la exigencia de tarjeta de Wi-Fi 7 integrada como especificación mínima. El criterio definido busca establecer un estándar técnico de referencia que garantice desempeño, vigencia tecnológica y libre concurrencia dentro del proceso, sin restringir la participación a un fabricante específico.</w:t>
      </w:r>
    </w:p>
    <w:p w14:paraId="58F7E5A8"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 xml:space="preserve">Observación No. 3 (coincidencia con un modelo específico). </w:t>
      </w:r>
      <w:r>
        <w:rPr>
          <w:rFonts w:ascii="Arial" w:eastAsia="Arial" w:hAnsi="Arial" w:cs="Arial"/>
          <w:sz w:val="20"/>
          <w:szCs w:val="20"/>
        </w:rPr>
        <w:t xml:space="preserve">La combinación exigida de: (i) puerto “HDMI de entrada 1.4 FHD” más salida “HDMI 2.1”; (ii) “fuente de poder interna … 240 Watts con certificación 80 plus Platinum”; (iii) puerto “USB-C 3.2 Gen 2x2 de 20Gbps”; (iv) pantalla 23,8” con “tasa de refresco mínimo 100hz”; y (v) base con ajuste de altura, coincide casi literalmente con la ficha comercial del equipo Dell Pro 24 All-in-One Plus (QB24250), que se ofrece precisamente con el procesador Intel Core Ultra 5 245, PSU interna de 240 W 80PLUS Platinum, HDMI-in 1.4 FHD, HDMI-out 2.1 y USB-C de 20 Gbps. </w:t>
      </w:r>
    </w:p>
    <w:p w14:paraId="393230AE"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 xml:space="preserve">Los equipos corporativos comparables de otros fabricantes verificados no acreditan simultáneamente esos mínimos según sus especificaciones publicadas: el HP EliteStudio 8 AiO </w:t>
      </w:r>
      <w:r>
        <w:rPr>
          <w:rFonts w:ascii="Arial" w:eastAsia="Arial" w:hAnsi="Arial" w:cs="Arial"/>
          <w:sz w:val="20"/>
          <w:szCs w:val="20"/>
        </w:rPr>
        <w:lastRenderedPageBreak/>
        <w:t>G1i de 23,8” reporta panel de 75 Hz y únicamente HDMI-out 2.0 (sin HDMI de entrada), y el Lenovo ThinkCentre M90a Gen 6 reporta panel FHD de 250 nits sin tasa de 100 Hz publicada y Wi-Fi 6E en sus configuraciones publicadas. Por tanto, existe un riesgo alto de que un solo fabricante y un solo modelo puedan cumplir la ficha en su integridad, en el ítem que concentra cerca del 82% del presupuesto.</w:t>
      </w:r>
    </w:p>
    <w:p w14:paraId="55824419"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017B5877"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La Entidad no acoge la observación, toda vez que el análisis presentado por el observane parte de una revisión limitada a determinadas referencias comerciales disponibles en el mercado, sin considerar integralmente las distintas modalidades de configuración y suministro propias del segmento de equipos corporativos.</w:t>
      </w:r>
    </w:p>
    <w:p w14:paraId="73FD777D" w14:textId="77777777" w:rsidR="00BE6367" w:rsidRDefault="00C90F6A">
      <w:pPr>
        <w:spacing w:before="240" w:after="240" w:line="276" w:lineRule="auto"/>
        <w:jc w:val="both"/>
        <w:rPr>
          <w:rFonts w:ascii="Arial" w:eastAsia="Arial" w:hAnsi="Arial" w:cs="Arial"/>
          <w:sz w:val="20"/>
          <w:szCs w:val="20"/>
        </w:rPr>
      </w:pPr>
      <w:r>
        <w:rPr>
          <w:rFonts w:ascii="Arial" w:eastAsia="Arial" w:hAnsi="Arial" w:cs="Arial"/>
          <w:sz w:val="20"/>
          <w:szCs w:val="20"/>
        </w:rPr>
        <w:t>En este tipo de procesos, las soluciones ofrecidas no necesariamente corresponden a configuraciones estándar o de exhibición masiva, dado que los fabricantes, distribuidores y canales autorizados pueden estructurar equipos y soluciones conforme a las necesidades técnicas específicas de cada proyecto, siempre que se garantice el cumplimiento de las condiciones mínimas exigidas.</w:t>
      </w:r>
    </w:p>
    <w:p w14:paraId="5DDDE155" w14:textId="77777777" w:rsidR="00BE6367" w:rsidRDefault="00C90F6A">
      <w:pPr>
        <w:spacing w:before="240" w:after="240" w:line="276" w:lineRule="auto"/>
        <w:jc w:val="both"/>
        <w:rPr>
          <w:rFonts w:ascii="Arial" w:eastAsia="Arial" w:hAnsi="Arial" w:cs="Arial"/>
          <w:sz w:val="20"/>
          <w:szCs w:val="20"/>
        </w:rPr>
      </w:pPr>
      <w:r>
        <w:rPr>
          <w:rFonts w:ascii="Arial" w:eastAsia="Arial" w:hAnsi="Arial" w:cs="Arial"/>
          <w:sz w:val="20"/>
          <w:szCs w:val="20"/>
        </w:rPr>
        <w:t>En ese sentido, características como la tasa de refresco, la eficiencia energética, los puertos de conectividad y las condiciones de ergonomía corresponden a parámetros técnicos disponibles en distintas soluciones del mercado y no se encuentran asociados de manera exclusiva a una marca, fabricante o referencia determinada.</w:t>
      </w:r>
    </w:p>
    <w:p w14:paraId="241A670D" w14:textId="77777777" w:rsidR="00BE6367" w:rsidRDefault="00C90F6A">
      <w:pPr>
        <w:spacing w:before="240" w:after="240" w:line="276" w:lineRule="auto"/>
        <w:jc w:val="both"/>
        <w:rPr>
          <w:rFonts w:ascii="Arial" w:eastAsia="Arial" w:hAnsi="Arial" w:cs="Arial"/>
          <w:sz w:val="20"/>
          <w:szCs w:val="20"/>
        </w:rPr>
      </w:pPr>
      <w:r>
        <w:rPr>
          <w:rFonts w:ascii="Arial" w:eastAsia="Arial" w:hAnsi="Arial" w:cs="Arial"/>
          <w:sz w:val="20"/>
          <w:szCs w:val="20"/>
        </w:rPr>
        <w:t>Por lo anterior, la identificación de un modelo comercial que cumpla con la totalidad de las especificaciones no permite concluir que exista un direccionamiento, ni que otros fabricantes o proveedores se encuentren imposibilitados para estructurar ofertas que satisfagan los requisitos establecidos en la ficha técnica.</w:t>
      </w:r>
    </w:p>
    <w:p w14:paraId="23F02A27" w14:textId="77777777" w:rsidR="00BE6367" w:rsidRDefault="00C90F6A">
      <w:pPr>
        <w:spacing w:before="240" w:after="240" w:line="276" w:lineRule="auto"/>
        <w:jc w:val="both"/>
        <w:rPr>
          <w:rFonts w:ascii="Arial" w:eastAsia="Arial" w:hAnsi="Arial" w:cs="Arial"/>
          <w:sz w:val="20"/>
          <w:szCs w:val="20"/>
        </w:rPr>
      </w:pPr>
      <w:r>
        <w:rPr>
          <w:rFonts w:ascii="Arial" w:eastAsia="Arial" w:hAnsi="Arial" w:cs="Arial"/>
          <w:sz w:val="20"/>
          <w:szCs w:val="20"/>
        </w:rPr>
        <w:t>La evaluación de las propuestas se realizará con base en la acreditación objetiva y documental del cumplimiento de las especificaciones técnicas mínimas exigidas, con independencia de la marca, referencia o mecanismo de configuración empleado por cada oferente.</w:t>
      </w:r>
    </w:p>
    <w:p w14:paraId="4F8DD822" w14:textId="77777777" w:rsidR="00BE6367" w:rsidRDefault="00C90F6A">
      <w:pPr>
        <w:spacing w:before="240" w:after="240" w:line="276" w:lineRule="auto"/>
        <w:jc w:val="both"/>
        <w:rPr>
          <w:rFonts w:ascii="Arial" w:eastAsia="Arial" w:hAnsi="Arial" w:cs="Arial"/>
          <w:sz w:val="20"/>
          <w:szCs w:val="20"/>
        </w:rPr>
      </w:pPr>
      <w:r>
        <w:rPr>
          <w:rFonts w:ascii="Arial" w:eastAsia="Arial" w:hAnsi="Arial" w:cs="Arial"/>
          <w:sz w:val="20"/>
          <w:szCs w:val="20"/>
        </w:rPr>
        <w:t>En consecuencia, la Entidad considera que las condiciones técnicas establecidas responden a sus necesidades funcionales y operativas, permiten la participación de diferentes fabricantes y proveedores y no restringen injustificadamente la pluralidad de oferentes. Por tanto, se mantienen las especificaciones previstas en los documentos del proceso.</w:t>
      </w:r>
    </w:p>
    <w:p w14:paraId="0FA97283"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 xml:space="preserve">Observación No. 4 (restricción por membresía TCG). </w:t>
      </w:r>
      <w:r>
        <w:rPr>
          <w:rFonts w:ascii="Arial" w:eastAsia="Arial" w:hAnsi="Arial" w:cs="Arial"/>
          <w:sz w:val="20"/>
          <w:szCs w:val="20"/>
        </w:rPr>
        <w:t>Se exige que “el fabricante debe contar con categoría promoter en el TCG (Trusted Computer Group)”. Según la lista oficial de miembros del Trusted Computing Group, los únicos fabricantes de computadores personales con categoría Promoter son Dell, HP Inc., Lenovo y Huawei (además de Microsoft). Fabricantes como Acer o Asus participan solo como Contributor y quedan excluidos. La finalidad de seguridad perseguida se satisface exigiendo TPM 2.0 certificado, requisito que la misma ficha ya contempla, sin necesidad de condicionar la membresía comercial del fabricante en una organización gremial.</w:t>
      </w:r>
    </w:p>
    <w:p w14:paraId="729ABD1D"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w:t>
      </w:r>
    </w:p>
    <w:p w14:paraId="35560436" w14:textId="77777777" w:rsidR="00BE6367" w:rsidRDefault="00C90F6A">
      <w:pPr>
        <w:jc w:val="both"/>
        <w:rPr>
          <w:rFonts w:ascii="Arial" w:eastAsia="Arial" w:hAnsi="Arial" w:cs="Arial"/>
          <w:sz w:val="20"/>
          <w:szCs w:val="20"/>
        </w:rPr>
      </w:pPr>
      <w:r>
        <w:rPr>
          <w:rFonts w:ascii="Arial" w:eastAsia="Arial" w:hAnsi="Arial" w:cs="Arial"/>
          <w:sz w:val="20"/>
          <w:szCs w:val="20"/>
        </w:rPr>
        <w:t>No se acepta la observación. Los requisitos técnicos y de certificación establecidos en la ficha técnica constituyen los mínimos requeridos para garantizar la seguridad, confiabilidad y desempeño de los equipos ofertados. La exigencia de que el fabricante sea miembro activo del Trusted Computing Group (TCG) en la categoría Promoter responde a la necesidad de asegurar que los equipos provengan de fabricantes con participación plena y verificable en el desarrollo de los estándares internacionales de seguridad para plataformas de cómputo.</w:t>
      </w:r>
    </w:p>
    <w:p w14:paraId="3FEC5D11"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En consecuencia, únicamente se aceptarán equipos cuyos fabricantes acrediten la membresía en la categoría Promoter o superior, condición verificable en el sitio web oficial del TCG. Se aclara además que existe pluralidad de marcas en el mercado que cumplen con este requisito, garantizando así la libre concurrencia y la selección objetiva dentro del proceso.</w:t>
      </w:r>
    </w:p>
    <w:p w14:paraId="69BB19A8" w14:textId="77777777" w:rsidR="00BE6367" w:rsidRDefault="00C90F6A">
      <w:pPr>
        <w:pStyle w:val="Heading2"/>
        <w:spacing w:before="260" w:after="160"/>
        <w:jc w:val="both"/>
        <w:rPr>
          <w:rFonts w:ascii="Arial" w:eastAsia="Arial" w:hAnsi="Arial" w:cs="Arial"/>
          <w:sz w:val="20"/>
          <w:szCs w:val="20"/>
        </w:rPr>
      </w:pPr>
      <w:r>
        <w:rPr>
          <w:rFonts w:ascii="Arial" w:eastAsia="Arial" w:hAnsi="Arial" w:cs="Arial"/>
          <w:sz w:val="20"/>
          <w:szCs w:val="20"/>
        </w:rPr>
        <w:t>3.2. Ítem 2 – Computador de escritorio Workstation (23 unidades)</w:t>
      </w:r>
    </w:p>
    <w:p w14:paraId="49D442FC"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 xml:space="preserve">Observación No. 5 (procesador y GPU de referencia única). </w:t>
      </w:r>
      <w:r>
        <w:rPr>
          <w:rFonts w:ascii="Arial" w:eastAsia="Arial" w:hAnsi="Arial" w:cs="Arial"/>
          <w:sz w:val="20"/>
          <w:szCs w:val="20"/>
        </w:rPr>
        <w:t xml:space="preserve">La FTP exige CPU con “mínimo 24 núcleos físicos así; 8 núcleos performantes con turbo de mínimo 5.5 a 5.7 Ghz y 16 núcleos eficientes con turbo de mínimo 4.6 Ghz”, “24 hilos de ejecución”, “Memoria Caché: Nivel 2 a 40 Mb y Smart a 36 Mb”, NPU de 13 TOPS y TDP base de 125 W. Estos valores corresponden exactamente al Intel Core Ultra 9 285K; incluso se emplea el término “Smart” (Intel Smart Cache), denominación comercial de Intel. La relación 24 núcleos = 24 hilos excluye nuevamente a AMD. </w:t>
      </w:r>
    </w:p>
    <w:p w14:paraId="6F1A882C"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En cuanto a la tarjeta gráfica, la exigencia de “mínimo 48 GB GDDR7” con ECC y ancho de banda “igual o superior a 1.3 Tb/s” solo la satisface la NVIDIA RTX PRO 5000 generación Blackwell (48 GB GDDR7 ECC, 1.344 GB/s); no existe producto equivalente de otro fabricante de GPU.</w:t>
      </w:r>
    </w:p>
    <w:p w14:paraId="67E6FCE3"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238088E0"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No se acoge la observación. La exigencia de un procesador con mínimo 24 núcleos físicos (8 núcleos de alto desempeño con turbo de 5.5 a 5.7 GHz y 16 núcleos eficientes con turbo de 4.6 GHz), 24 hilos de ejecución, memoria caché de nivel 2 de 40 MB y Smart Cache de 36 MB, NPU de 13 TOPS y TDP base de 125W, con lanzamiento mínimo en el primer semestre de 2025, corresponde a los parámetros mínimos solicitados en la ficha técnica para garantizar el nivel de desempeño requerido por la Entidad.</w:t>
      </w:r>
    </w:p>
    <w:p w14:paraId="150FCF3F"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Se aclara que estas especificaciones no buscan restringir la participación a un único fabricante, sino establecer un estándar técnico mínimo que asegure desempeño sostenido, estabilidad térmica y energética, y vigencia tecnológica frente a las cargas de trabajo previstas. Dichos valores constituyen un parámetro indispensable para preservar la fluidez, tiempos de respuesta y confiabilidad del sistema, asegurando que la plataforma responda a los requerimientos actuales y futuros de la Entidad.</w:t>
      </w:r>
    </w:p>
    <w:p w14:paraId="1A8E5D82"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 xml:space="preserve">En cuanto a la tarjeta gráfica, se precisa que, tal como se indica en la ficha técnica, esta característica corresponde a un </w:t>
      </w:r>
      <w:r>
        <w:rPr>
          <w:rFonts w:ascii="Arial" w:eastAsia="Arial" w:hAnsi="Arial" w:cs="Arial"/>
          <w:b/>
          <w:bCs/>
          <w:sz w:val="20"/>
          <w:szCs w:val="20"/>
        </w:rPr>
        <w:t>requisito mínimo de cumplimiento</w:t>
      </w:r>
      <w:r>
        <w:rPr>
          <w:rFonts w:ascii="Arial" w:eastAsia="Arial" w:hAnsi="Arial" w:cs="Arial"/>
          <w:sz w:val="20"/>
          <w:szCs w:val="20"/>
        </w:rPr>
        <w:t>, y se aceptan especificaciones superiores al mismo. Por ello, no se enfatiza en una marca o modelo específico, sino en el cumplimiento de los parámetros mínimos definidos para garantizar el desempeño requerido por los usuarios y la vigencia tecnológica del equipo.</w:t>
      </w:r>
    </w:p>
    <w:p w14:paraId="62A611DA"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En consecuencia, se mantiene la especificación técnica definida en los documentos del proceso, dado que constituye un estándar mínimo necesario para garantizar rendimiento, confiabilidad y continuidad operativa en los escenarios de uso institucional.</w:t>
      </w:r>
    </w:p>
    <w:p w14:paraId="1807B8EE"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 xml:space="preserve">Observación No. 6 (monitores y periféricos atados). </w:t>
      </w:r>
      <w:r>
        <w:rPr>
          <w:rFonts w:ascii="Arial" w:eastAsia="Arial" w:hAnsi="Arial" w:cs="Arial"/>
          <w:sz w:val="20"/>
          <w:szCs w:val="20"/>
        </w:rPr>
        <w:t>Los dos monitores de 27” exigidos describen parámetros propios de una línea comercial específica: panel “IPS Black” (denominación usada comercialmente por Dell en su línea UltraSharp), Thunderbolt 4 con entrega de 140 W, KVM integrado y DP 1.4 de entrada y salida. Adicionalmente se exige que la torre y el monitor “ambos deben ser de la misma marca” y que la cámara web sea “de la misma marca de la estación de trabajo”, lo que encadena la elección de todos los componentes a un solo fabricante. Por otra parte, el teclado y el mouse exigidos para la estación corresponden a productos de consumo tipo “gaming” descritos al detalle (switches “Cherry MX Low Profile Red”, iluminación RGB, sensor de “19.000 DPI”, “hasta 50 G” de aceleración), transcripciones de hojas técnicas de productos específicos que contradicen la exigencia paralela de que el equipo sea de “línea corporativa”.</w:t>
      </w:r>
    </w:p>
    <w:p w14:paraId="7B4E490A" w14:textId="77777777" w:rsidR="00BE6367" w:rsidRDefault="00BE6367">
      <w:pPr>
        <w:spacing w:line="276" w:lineRule="auto"/>
        <w:jc w:val="both"/>
        <w:rPr>
          <w:rFonts w:ascii="Arial" w:eastAsia="Arial" w:hAnsi="Arial" w:cs="Arial"/>
          <w:sz w:val="20"/>
          <w:szCs w:val="20"/>
        </w:rPr>
      </w:pPr>
    </w:p>
    <w:p w14:paraId="055508E3"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2A429082"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El comité técnico, luego de un nuevo y detenido análisis de la observación planteada, ha decidido aceptar parcialmente el señalamiento del interesado, en el entendido de que la utilización del término asociado a un segmento de consumo recreativo para describir determinados periféricos pudo dar lugar a una interpretación equívoca sobre la naturaleza del requerimiento.</w:t>
      </w:r>
    </w:p>
    <w:p w14:paraId="56AE8CDD"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En consecuencia, se suprime cualquier referencia terminológica que pudiera vincular las especificaciones con líneas de uso recreativo, aclarando que las prestaciones exigidas responden exclusivamente a criterios de rendimiento, durabilidad y ergonomía propios del entorno corporativo de alta exigencia.</w:t>
      </w:r>
    </w:p>
    <w:p w14:paraId="015ED8A0"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No obstante, la entidad rechaza la pretensión de modificar los parámetros técnicos de los monitores y periféricos.</w:t>
      </w:r>
    </w:p>
    <w:p w14:paraId="2EA9198A"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La tecnología de panel solicitada caracterizada por una relación de contraste elevada, amplios ángulos de visión y alta fidelidad cromática no es privativa de un solo fabricante. Si bien en el mercado existen denominaciones comerciales asociadas a determinadas líneas de productos, la tecnología subyacente corresponde a estándares de fabricación que han sido adoptados y licenciados por múltiples proveedores a nivel global, cada uno de los cuales puede ofrecer paneles con prestaciones equivalentes o superiores bajo su propia nomenclatura.</w:t>
      </w:r>
    </w:p>
    <w:p w14:paraId="28458B71"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De manera análoga, los protocolos de conectividad (transmisión de datos, video y energía a través de un único puerto) responden a especificaciones abiertas, certificadas por organismos internacionales y disponibles para cualquier fabricante que desee implementarlas, sin que exista restricción de uso o exclusividad.</w:t>
      </w:r>
    </w:p>
    <w:p w14:paraId="0F0337E5"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En cuanto a los periféricos, las características de durabilidad mecánica, precisión de rastreo y atributos ergonómicos constituyen requerimientos de alto rendimiento plenamente compatibles con el entorno corporativo, y no se circunscriben a un segmento de consumo específico. Su inclusión en la ficha obedece a criterios de salud ocupacional, reducción de costos de reemplazo y mejora de la productividad, y su cumplimiento es alcanzable por múltiples marcas que ofrecen líneas profesionales con estas prestaciones.</w:t>
      </w:r>
    </w:p>
    <w:p w14:paraId="0984131D"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La exigencia de que la estación, los monitores y la cámara web sean del mismo fabricante no implica direccionamiento, sino una condición de integración funcional que asegura interoperabilidad nativa, gestión centralizada de actualizaciones y un único punto de soporte técnico, aspectos que garantizan la continuidad operativa y el cumplimiento de los niveles de servicio.</w:t>
      </w:r>
    </w:p>
    <w:p w14:paraId="2ADE033C"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Por tanto, se acoge parcialmente su observación y se modifica únicamente el termino de “gaming” para evitar malinterpretaciones por los interesados.</w:t>
      </w:r>
    </w:p>
    <w:p w14:paraId="222EDFC4" w14:textId="77777777" w:rsidR="00BE6367" w:rsidRDefault="00C90F6A">
      <w:pPr>
        <w:pStyle w:val="Heading2"/>
        <w:spacing w:before="260" w:after="160"/>
        <w:jc w:val="both"/>
        <w:rPr>
          <w:rFonts w:ascii="Arial" w:eastAsia="Arial" w:hAnsi="Arial" w:cs="Arial"/>
          <w:sz w:val="20"/>
          <w:szCs w:val="20"/>
        </w:rPr>
      </w:pPr>
      <w:r>
        <w:rPr>
          <w:rFonts w:ascii="Arial" w:eastAsia="Arial" w:hAnsi="Arial" w:cs="Arial"/>
          <w:sz w:val="20"/>
          <w:szCs w:val="20"/>
        </w:rPr>
        <w:t>3.3. Ítems 3, 4 y 5 – Desktop Mini, Portátil y Tableta</w:t>
      </w:r>
    </w:p>
    <w:p w14:paraId="7B4B1E8E"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 xml:space="preserve">Observación No. 7 (direccionamiento expreso a productos Apple). </w:t>
      </w:r>
      <w:r>
        <w:rPr>
          <w:rFonts w:ascii="Arial" w:eastAsia="Arial" w:hAnsi="Arial" w:cs="Arial"/>
          <w:sz w:val="20"/>
          <w:szCs w:val="20"/>
        </w:rPr>
        <w:t xml:space="preserve">Las tres fichas describen productos de Apple Inc. mediante sus denominaciones comerciales registradas y sus cifras exactas de catálogo: el ítem 3 exige “CPU de 28 núcleos, GPU de 60 núcleos, Neural Engine de 32 núcleos”, “memoria unificada de 96 GB”, “Magic Keyboard con Touch ID”, “Magic Mouse”, cámara “12MP Center Stage”, Thunderbolt 5 y pantalla de 27” 5K de 600 nits, descripción que corresponde únicamente al Apple Mac Studio (chip M3 Ultra) con Apple Studio Display; el ítem 4 exige “color Negro Espacial”, pantalla de 14” “liquidaXDR” de 3024×1964, “Magic Keyboard”, “Trackpad Force Touch”, “puerto MagSafe 3”, tres puertos Thunderbolt 5 y batería de “72.4 Wh”, descripción que corresponde únicamente al Apple MacBook Pro de 14”; </w:t>
      </w:r>
      <w:r>
        <w:rPr>
          <w:rFonts w:ascii="Arial" w:eastAsia="Arial" w:hAnsi="Arial" w:cs="Arial"/>
          <w:sz w:val="20"/>
          <w:szCs w:val="20"/>
        </w:rPr>
        <w:lastRenderedPageBreak/>
        <w:t>y el ítem 5 exige resolución “2420 x 1668” con sistema operativo “nativo y del mismo fabricante … de un ecosistema cerrado y exclusivo de la marca”, lo que corresponde al Apple iPad Pro de 11”. En los ítems 3 y 5 la exigencia de “ecosistema cerrado y exclusivo de la marca” constituye una restricción expresa y deliberada a un único fabricante.</w:t>
      </w:r>
    </w:p>
    <w:p w14:paraId="0BE02690"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31340CA6"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No se acoge la observación. Las características descritas en la ficha técnica corresponden a los parámetros mínimos requeridos por la Entidad para garantizar el adecuado desempeño de los equipos en las labores de los usuarios. La definición de estos requisitos busca asegurar que los bienes suministrados cuenten con las condiciones técnicas necesarias para responder a las necesidades institucionales.</w:t>
      </w:r>
    </w:p>
    <w:p w14:paraId="34D607D5"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Se precisa que podrán admitirse equipos con especificaciones superiores, siempre que cumplan con los mínimos establecidos, lo cual permite mantener la pluralidad de oferentes y al mismo tiempo garantizar la funcionalidad, confiabilidad y vigencia tecnológica de los productos.</w:t>
      </w:r>
    </w:p>
    <w:p w14:paraId="11F753D1"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En consecuencia, se mantienen los requerimientos mínimos definidos en la ficha técnica, dado que constituyen condiciones indispensables para el cumplimiento de los objetivos de la Entidad.</w:t>
      </w:r>
    </w:p>
    <w:p w14:paraId="58573FCF"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 xml:space="preserve">Observación No. 8 (inconsistencias internas). </w:t>
      </w:r>
      <w:r>
        <w:rPr>
          <w:rFonts w:ascii="Arial" w:eastAsia="Arial" w:hAnsi="Arial" w:cs="Arial"/>
          <w:sz w:val="20"/>
          <w:szCs w:val="20"/>
        </w:rPr>
        <w:t xml:space="preserve">En el ítem 5 (tableta) se exige batería de “9800 mAh/ 10.880 mAh”; Apple no publica la capacidad de sus baterías en mAh y las cifras citadas no corresponden a las especificaciones publicadas del iPad Pro de 11”, de modo que, leído literalmente, ningún producto del mercado parecería cumplir simultáneamente la resolución, el ecosistema cerrado y esa capacidad de batería: la ficha mezcla parámetros de productos de fabricantes distintos. Asimismo, se advierte que el ítem 37 figura como “ALTAVOZ PROFESIONAL” en la tabla de ítems con valores (FTN, pág. 6) y como “MICRÓFONO - ALTAVOZ PROFESIONAL” en la tabla de bienes adicionales (FTN, pág. 9), y que los ítems 41 y 42 cambian de denominación entre tablas (“UNIDAD DE PRESIDENTE” / “MICRÓFONO UNIDAD DE PRESIDENTE”), lo que debe unificarse. </w:t>
      </w:r>
    </w:p>
    <w:p w14:paraId="2637BB99"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Finalmente, mientras a los ítems 1, 2, 9, 10 y 11 se les exige certificación del fabricante y membresía TCG, los ítems 3, 4 y 5 (Apple) no tienen exigencia equivalente —Apple no es miembro del TCG—, evidenciando criterios asimétricos entre bienes de la misma categoría.</w:t>
      </w:r>
    </w:p>
    <w:p w14:paraId="4324966D"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6DABB620"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Se acepta parcialmente la observación. Con el fin de promover una mayor pluralidad de oferentes y permitir la participación de un mayor número de soluciones tecnológicas disponibles en el mercado, la Entidad suprimirá las especificaciones correspondientes a "9800 mAh / 10.880 mAh" y "Uso de internet (Wi-Fi)", considerando que estos parámetros pueden variar según la metodología de medición y la forma en que cada fabricante publica las características de sus dispositivos.</w:t>
      </w:r>
    </w:p>
    <w:p w14:paraId="6F76E45B"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En consecuencia, el requisito será ajustado a:</w:t>
      </w:r>
    </w:p>
    <w:p w14:paraId="3F236547"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"Batería: Mínimo 10 horas o superior."</w:t>
      </w:r>
    </w:p>
    <w:p w14:paraId="4BF13620"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Lo anterior permite evaluar el desempeño esperado del dispositivo desde una perspectiva funcional, garantizando el cumplimiento de la necesidad de autonomía requerida por la Entidad, sin limitar la participación de tecnologías equivalentes disponibles en el mercado.</w:t>
      </w:r>
    </w:p>
    <w:p w14:paraId="7FB64196" w14:textId="77777777" w:rsidR="00BE6367" w:rsidRDefault="00C90F6A">
      <w:pPr>
        <w:pStyle w:val="Heading2"/>
        <w:spacing w:before="260" w:after="160"/>
        <w:jc w:val="both"/>
        <w:rPr>
          <w:rFonts w:ascii="Arial" w:eastAsia="Arial" w:hAnsi="Arial" w:cs="Arial"/>
          <w:sz w:val="20"/>
          <w:szCs w:val="20"/>
        </w:rPr>
      </w:pPr>
      <w:r>
        <w:rPr>
          <w:rFonts w:ascii="Arial" w:eastAsia="Arial" w:hAnsi="Arial" w:cs="Arial"/>
          <w:sz w:val="20"/>
          <w:szCs w:val="20"/>
        </w:rPr>
        <w:t>3.4. Ítems 9, 10 y 11 – Monitor, teclado y mouse</w:t>
      </w:r>
    </w:p>
    <w:p w14:paraId="0DFF2124"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 xml:space="preserve">Observación No. 9 (restricción TCG sin pertinencia técnica). </w:t>
      </w:r>
      <w:r>
        <w:rPr>
          <w:rFonts w:ascii="Arial" w:eastAsia="Arial" w:hAnsi="Arial" w:cs="Arial"/>
          <w:sz w:val="20"/>
          <w:szCs w:val="20"/>
        </w:rPr>
        <w:t xml:space="preserve">Las especificaciones funcionales de estos periféricos son genéricas y multi-marca; sin embargo, la exigencia de que el fabricante sea “Promoter” del TCG excluye a los principales fabricantes especializados de monitores (LG, Samsung, Asus, Acer, ViewSonic, AOC, BenQ) y de periféricos (Logitech, entre </w:t>
      </w:r>
      <w:r>
        <w:rPr>
          <w:rFonts w:ascii="Arial" w:eastAsia="Arial" w:hAnsi="Arial" w:cs="Arial"/>
          <w:sz w:val="20"/>
          <w:szCs w:val="20"/>
        </w:rPr>
        <w:lastRenderedPageBreak/>
        <w:t>otros), reduciendo la competencia a Dell, HP y Lenovo. Un monitor, un teclado o un mouse no incorporan TPM ni implementan especificaciones del TCG, por lo que el requisito carece de justificación técnica y solo produce un efecto restrictivo.</w:t>
      </w:r>
    </w:p>
    <w:p w14:paraId="0FA7091E"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16158FBB"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No se acepta la observación. Los requisitos técnicos y de certificación establecidos constituyen los mínimos necesarios para garantizar la seguridad, confiabilidad y desempeño de los equipos ofertados. La exigencia de que el fabricante sea miembro activo del </w:t>
      </w:r>
      <w:r>
        <w:rPr>
          <w:rFonts w:ascii="Arial" w:eastAsia="Arial" w:hAnsi="Arial" w:cs="Arial"/>
          <w:b/>
          <w:bCs/>
          <w:sz w:val="20"/>
          <w:szCs w:val="20"/>
        </w:rPr>
        <w:t>Trusted Computing Group (TCG)</w:t>
      </w:r>
      <w:r>
        <w:rPr>
          <w:rFonts w:ascii="Arial" w:eastAsia="Arial" w:hAnsi="Arial" w:cs="Arial"/>
          <w:sz w:val="20"/>
          <w:szCs w:val="20"/>
        </w:rPr>
        <w:t xml:space="preserve"> en la categoría Promoter responde a la necesidad de asegurar que los equipos y periféricos (incluidos monitores, teclados y mouse) provengan de fabricantes con participación plena y verificable en el desarrollo de los estándares internacionales de seguridad para plataformas de cómputo.</w:t>
      </w:r>
    </w:p>
    <w:p w14:paraId="5437A584" w14:textId="77777777" w:rsidR="00BE6367" w:rsidRDefault="00C90F6A">
      <w:pPr>
        <w:jc w:val="both"/>
        <w:rPr>
          <w:rFonts w:ascii="Arial" w:eastAsia="Arial" w:hAnsi="Arial" w:cs="Arial"/>
          <w:sz w:val="20"/>
          <w:szCs w:val="20"/>
        </w:rPr>
      </w:pPr>
      <w:r>
        <w:rPr>
          <w:rFonts w:ascii="Arial" w:eastAsia="Arial" w:hAnsi="Arial" w:cs="Arial"/>
          <w:sz w:val="20"/>
          <w:szCs w:val="20"/>
        </w:rPr>
        <w:t>Este requisito busca garantizar que los periféricos ofertados sean totalmente compatibles con los equipos principales bajo los mismos parámetros de fabricantes, asegurando uniformidad, interoperabilidad y cumplimiento de las especificaciones técnicas exigidas en el pliego.</w:t>
      </w:r>
    </w:p>
    <w:p w14:paraId="75D595B6" w14:textId="77777777" w:rsidR="00BE6367" w:rsidRDefault="00C90F6A">
      <w:pPr>
        <w:jc w:val="both"/>
        <w:rPr>
          <w:rFonts w:ascii="Arial" w:eastAsia="Arial" w:hAnsi="Arial" w:cs="Arial"/>
          <w:sz w:val="20"/>
          <w:szCs w:val="20"/>
        </w:rPr>
      </w:pPr>
      <w:r>
        <w:rPr>
          <w:rFonts w:ascii="Arial" w:eastAsia="Arial" w:hAnsi="Arial" w:cs="Arial"/>
          <w:sz w:val="20"/>
          <w:szCs w:val="20"/>
        </w:rPr>
        <w:t>En consecuencia, únicamente se aceptarán equipos y periféricos cuyos fabricantes acrediten la membresía en la categoría Promoter o superior, condición verificable en el sitio web oficial de Trusted Computing Group. Se aclara además que existe pluralidad de marcas en el mercado que cumplen con este requisito, lo que garantiza la libre concurrencia y la selección objetiva dentro del proceso.</w:t>
      </w:r>
    </w:p>
    <w:p w14:paraId="1DDD6260" w14:textId="77777777" w:rsidR="00BE6367" w:rsidRDefault="00C90F6A">
      <w:pPr>
        <w:pStyle w:val="Heading1"/>
        <w:spacing w:before="320"/>
        <w:jc w:val="both"/>
        <w:rPr>
          <w:rFonts w:ascii="Arial" w:eastAsia="Arial" w:hAnsi="Arial" w:cs="Arial"/>
          <w:sz w:val="20"/>
          <w:szCs w:val="20"/>
        </w:rPr>
      </w:pPr>
      <w:r>
        <w:rPr>
          <w:rFonts w:ascii="Arial" w:eastAsia="Arial" w:hAnsi="Arial" w:cs="Arial"/>
          <w:sz w:val="20"/>
          <w:szCs w:val="20"/>
        </w:rPr>
        <w:t>4. CUADRO COMPARATIVO DE VERIFICACIÓN DE MARCAS Y MODELOS</w:t>
      </w:r>
    </w:p>
    <w:p w14:paraId="5113CF12"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El siguiente cuadro sintetiza la verificación realizada contra fichas oficiales de fabricantes (fuentes en la sección 6):</w:t>
      </w:r>
    </w:p>
    <w:tbl>
      <w:tblPr>
        <w:tblStyle w:val="af4"/>
        <w:tblW w:w="96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80"/>
        <w:gridCol w:w="2006"/>
        <w:gridCol w:w="2474"/>
        <w:gridCol w:w="2293"/>
        <w:gridCol w:w="1591"/>
      </w:tblGrid>
      <w:tr w:rsidR="00BE6367" w14:paraId="7D98DA74" w14:textId="77777777">
        <w:trPr>
          <w:tblHeader/>
        </w:trPr>
        <w:tc>
          <w:tcPr>
            <w:tcW w:w="1280" w:type="dxa"/>
            <w:tcBorders>
              <w:top w:val="single" w:sz="4" w:space="0" w:color="999999"/>
              <w:left w:val="single" w:sz="4" w:space="0" w:color="999999"/>
              <w:bottom w:val="single" w:sz="4" w:space="0" w:color="999999"/>
              <w:right w:val="single" w:sz="4" w:space="0" w:color="999999"/>
            </w:tcBorders>
            <w:shd w:val="clear" w:color="auto" w:fill="D9D9D9"/>
            <w:tcMar>
              <w:top w:w="80" w:type="dxa"/>
              <w:left w:w="120" w:type="dxa"/>
              <w:bottom w:w="80" w:type="dxa"/>
              <w:right w:w="120" w:type="dxa"/>
            </w:tcMar>
          </w:tcPr>
          <w:p w14:paraId="7FFBC957"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t>ÍTEM</w:t>
            </w:r>
          </w:p>
        </w:tc>
        <w:tc>
          <w:tcPr>
            <w:tcW w:w="2006" w:type="dxa"/>
            <w:tcBorders>
              <w:top w:val="single" w:sz="4" w:space="0" w:color="999999"/>
              <w:left w:val="single" w:sz="4" w:space="0" w:color="999999"/>
              <w:bottom w:val="single" w:sz="4" w:space="0" w:color="999999"/>
              <w:right w:val="single" w:sz="4" w:space="0" w:color="999999"/>
            </w:tcBorders>
            <w:shd w:val="clear" w:color="auto" w:fill="D9D9D9"/>
            <w:tcMar>
              <w:top w:w="80" w:type="dxa"/>
              <w:left w:w="120" w:type="dxa"/>
              <w:bottom w:w="80" w:type="dxa"/>
              <w:right w:w="120" w:type="dxa"/>
            </w:tcMar>
          </w:tcPr>
          <w:p w14:paraId="79680CB5"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t>REQUISITO DETERMINANTE (texto de la FTP/FTN)</w:t>
            </w:r>
          </w:p>
        </w:tc>
        <w:tc>
          <w:tcPr>
            <w:tcW w:w="2474" w:type="dxa"/>
            <w:tcBorders>
              <w:top w:val="single" w:sz="4" w:space="0" w:color="999999"/>
              <w:left w:val="single" w:sz="4" w:space="0" w:color="999999"/>
              <w:bottom w:val="single" w:sz="4" w:space="0" w:color="999999"/>
              <w:right w:val="single" w:sz="4" w:space="0" w:color="999999"/>
            </w:tcBorders>
            <w:shd w:val="clear" w:color="auto" w:fill="D9D9D9"/>
            <w:tcMar>
              <w:top w:w="80" w:type="dxa"/>
              <w:left w:w="120" w:type="dxa"/>
              <w:bottom w:w="80" w:type="dxa"/>
              <w:right w:w="120" w:type="dxa"/>
            </w:tcMar>
          </w:tcPr>
          <w:p w14:paraId="27BC7092"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t>MARCA(S)/MODELO(S) QUE CUMPLEN SEGÚN FICHAS OFICIALES</w:t>
            </w:r>
          </w:p>
        </w:tc>
        <w:tc>
          <w:tcPr>
            <w:tcW w:w="2293" w:type="dxa"/>
            <w:tcBorders>
              <w:top w:val="single" w:sz="4" w:space="0" w:color="999999"/>
              <w:left w:val="single" w:sz="4" w:space="0" w:color="999999"/>
              <w:bottom w:val="single" w:sz="4" w:space="0" w:color="999999"/>
              <w:right w:val="single" w:sz="4" w:space="0" w:color="999999"/>
            </w:tcBorders>
            <w:shd w:val="clear" w:color="auto" w:fill="D9D9D9"/>
            <w:tcMar>
              <w:top w:w="80" w:type="dxa"/>
              <w:left w:w="120" w:type="dxa"/>
              <w:bottom w:w="80" w:type="dxa"/>
              <w:right w:w="120" w:type="dxa"/>
            </w:tcMar>
          </w:tcPr>
          <w:p w14:paraId="03374B6A"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t>MARCAS EXCLUIDAS Y MOTIVO</w:t>
            </w:r>
          </w:p>
        </w:tc>
        <w:tc>
          <w:tcPr>
            <w:tcW w:w="1591" w:type="dxa"/>
            <w:tcBorders>
              <w:top w:val="single" w:sz="4" w:space="0" w:color="999999"/>
              <w:left w:val="single" w:sz="4" w:space="0" w:color="999999"/>
              <w:bottom w:val="single" w:sz="4" w:space="0" w:color="999999"/>
              <w:right w:val="single" w:sz="4" w:space="0" w:color="999999"/>
            </w:tcBorders>
            <w:shd w:val="clear" w:color="auto" w:fill="D9D9D9"/>
          </w:tcPr>
          <w:p w14:paraId="7B54C1B9" w14:textId="77777777" w:rsidR="00BE6367" w:rsidRDefault="00C90F6A">
            <w:pPr>
              <w:spacing w:after="40"/>
              <w:jc w:val="both"/>
              <w:rPr>
                <w:rFonts w:ascii="Arial" w:eastAsia="Arial" w:hAnsi="Arial" w:cs="Arial"/>
                <w:b/>
                <w:bCs/>
                <w:sz w:val="20"/>
                <w:szCs w:val="20"/>
              </w:rPr>
            </w:pPr>
            <w:r>
              <w:rPr>
                <w:rFonts w:ascii="Arial" w:eastAsia="Arial" w:hAnsi="Arial" w:cs="Arial"/>
                <w:b/>
                <w:bCs/>
                <w:sz w:val="20"/>
                <w:szCs w:val="20"/>
              </w:rPr>
              <w:t>Respuestas</w:t>
            </w:r>
          </w:p>
        </w:tc>
      </w:tr>
      <w:tr w:rsidR="00BE6367" w14:paraId="06A1137C" w14:textId="77777777">
        <w:tc>
          <w:tcPr>
            <w:tcW w:w="12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C019BD5"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t>1 – AIO (3.500 und.)</w:t>
            </w:r>
          </w:p>
        </w:tc>
        <w:tc>
          <w:tcPr>
            <w:tcW w:w="2006"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4C438C9"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Procesador: “turbo … mínimo 5.1 Ghz … mínimo 14 cores … 14 subprocesos … cache … nivel 2 … mínimo 26MB … NPU de mínimo 13 TOPS … TDP: Base mínima de 65 Watts … lanzado … primer semestre de 2025”.</w:t>
            </w:r>
          </w:p>
          <w:p w14:paraId="46C33AFB"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“WIFI: Intel Wireless card Wifi 7 integrada”; administración “fuera de banda para integración con EMA”.</w:t>
            </w:r>
          </w:p>
          <w:p w14:paraId="4ABA7F5B"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Puertos: “1 puerto HDMI de entrada </w:t>
            </w:r>
            <w:r>
              <w:rPr>
                <w:rFonts w:ascii="Arial" w:eastAsia="Arial" w:hAnsi="Arial" w:cs="Arial"/>
                <w:sz w:val="20"/>
                <w:szCs w:val="20"/>
              </w:rPr>
              <w:lastRenderedPageBreak/>
              <w:t>1.4 FHD y uno de salida HDMI 2.1”; “Fuente de poder interna: Mínima de 240 Watts con certificación 80 plus Platinum”; USB-C 3.2 Gen 2x2 20Gbps; pantalla 23.8” 100 Hz.</w:t>
            </w:r>
          </w:p>
        </w:tc>
        <w:tc>
          <w:tcPr>
            <w:tcW w:w="247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FB4AD88"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lastRenderedPageBreak/>
              <w:t>CPU: únicamente Intel Core Ultra 5 245 / 245T y superiores de la familia Arrow Lake-S (Intel ARK: 14C/14T, 5,1 GHz, 26 MB L2, NPU 13 TOPS, 65 W).</w:t>
            </w:r>
          </w:p>
          <w:p w14:paraId="017234B2"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Equipo completo: la combinación publicada (HDMI-in 1.4 FHD + HDMI-out 2.1 + PSU interna 240 W 80PLUS Platinum + USB-C 20 Gbps + soporte de altura ajustable + Ultra 5 245) coincide con el Dell Pro 24 All-in-One Plus (QB24250), según la página oficial de Dell.</w:t>
            </w:r>
          </w:p>
        </w:tc>
        <w:tc>
          <w:tcPr>
            <w:tcW w:w="22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55C2E90"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AMD: excluida — todos sus procesadores de escritorio con 14 núcleos o más operan con SMT (n.° de hilos = 2×núcleos) y su estructura de caché L2 no alcanza 26 MB; además “Intel Wireless” y “EMA” (Intel Endpoint Management Assistant) imponen plataforma Intel.</w:t>
            </w:r>
          </w:p>
          <w:p w14:paraId="0C731000"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HP EliteStudio 8 AiO G1i: panel 75 Hz y HDMI-out 2.0, sin HDMI-in (datasheet HP).</w:t>
            </w:r>
          </w:p>
          <w:p w14:paraId="35398C22"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Lenovo ThinkCentre M90a Gen 6: panel </w:t>
            </w:r>
            <w:r>
              <w:rPr>
                <w:rFonts w:ascii="Arial" w:eastAsia="Arial" w:hAnsi="Arial" w:cs="Arial"/>
                <w:sz w:val="20"/>
                <w:szCs w:val="20"/>
              </w:rPr>
              <w:lastRenderedPageBreak/>
              <w:t>FHD 250 nits sin 100 Hz publicado y Wi-Fi 6E en configuraciones publicadas (PSREF).</w:t>
            </w:r>
          </w:p>
          <w:p w14:paraId="7BC1B20D"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Acer, Asus, LG, Samsung y otros: fabricante no es “Promoter” del TCG.</w:t>
            </w:r>
          </w:p>
        </w:tc>
        <w:tc>
          <w:tcPr>
            <w:tcW w:w="1591" w:type="dxa"/>
            <w:tcBorders>
              <w:top w:val="single" w:sz="4" w:space="0" w:color="999999"/>
              <w:left w:val="single" w:sz="4" w:space="0" w:color="999999"/>
              <w:bottom w:val="single" w:sz="4" w:space="0" w:color="999999"/>
              <w:right w:val="single" w:sz="4" w:space="0" w:color="999999"/>
            </w:tcBorders>
          </w:tcPr>
          <w:p w14:paraId="50D8A009"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lastRenderedPageBreak/>
              <w:t xml:space="preserve">No se acoge la observación. La exigencia de un procesador con velocidad turbo mínima de 5.1 GHz, 14 núcleos físicos, 14 subprocesos, 26 MB de caché L2, NPU de 13 TOPS y TDP base de 65W, con lanzamiento mínimo en el primer semestre de 2025, corresponde a los parámetros mínimos solicitados en la </w:t>
            </w:r>
            <w:r>
              <w:rPr>
                <w:rFonts w:ascii="Arial" w:eastAsia="Arial" w:hAnsi="Arial" w:cs="Arial"/>
                <w:sz w:val="20"/>
                <w:szCs w:val="20"/>
              </w:rPr>
              <w:lastRenderedPageBreak/>
              <w:t>ficha técnica para garantizar el nivel de desempeño requerido por la Entidad.</w:t>
            </w:r>
          </w:p>
          <w:p w14:paraId="21804C84"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Se aclara que estos valores no buscan restringir la participación a un único fabricante, sino establecer un estándar mínimo que asegure desempeño sostenido, estabilidad térmica y energética, y vigencia tecnológica frente a las cargas de trabajo previstas. En el mercado existen múltiples marcas y plataformas que cumplen e incluso superan estas especificaciones, lo que garantiza pluralidad de opciones y libre concurrencia dentro del proceso.</w:t>
            </w:r>
          </w:p>
          <w:p w14:paraId="52043639"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En consecuencia, se mantiene la especificación técnica definida, dado que constituye un parámetro indispensable para asegurar rendimiento, </w:t>
            </w:r>
            <w:r>
              <w:rPr>
                <w:rFonts w:ascii="Arial" w:eastAsia="Arial" w:hAnsi="Arial" w:cs="Arial"/>
                <w:sz w:val="20"/>
                <w:szCs w:val="20"/>
              </w:rPr>
              <w:lastRenderedPageBreak/>
              <w:t>confiabilidad y continuidad operativa en los escenarios de uso institucional.</w:t>
            </w:r>
          </w:p>
        </w:tc>
      </w:tr>
      <w:tr w:rsidR="00BE6367" w14:paraId="444F33CF" w14:textId="77777777">
        <w:tc>
          <w:tcPr>
            <w:tcW w:w="12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C75294D"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lastRenderedPageBreak/>
              <w:t>2 – Workstation (23 und.)</w:t>
            </w:r>
          </w:p>
        </w:tc>
        <w:tc>
          <w:tcPr>
            <w:tcW w:w="2006"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5BE6415" w14:textId="77777777" w:rsidR="00BE6367" w:rsidRPr="00AA7016" w:rsidRDefault="00C90F6A">
            <w:pPr>
              <w:spacing w:after="40"/>
              <w:jc w:val="both"/>
              <w:rPr>
                <w:rFonts w:ascii="Arial" w:eastAsia="Arial" w:hAnsi="Arial" w:cs="Arial"/>
                <w:sz w:val="20"/>
                <w:szCs w:val="20"/>
                <w:lang w:val="pt-PT"/>
              </w:rPr>
            </w:pPr>
            <w:r>
              <w:rPr>
                <w:rFonts w:ascii="Arial" w:eastAsia="Arial" w:hAnsi="Arial" w:cs="Arial"/>
                <w:sz w:val="20"/>
                <w:szCs w:val="20"/>
              </w:rPr>
              <w:t xml:space="preserve">CPU: “Mínimo 24 núcleos … 8 … turbo de mínimo 5.5 a 5.7 Ghz y 16 … 4.6 Ghz … 24 hilos … Caché: Nivel 2 a 40 Mb y Smart a 36 Mb … NPU … 13 TOPS. </w:t>
            </w:r>
            <w:r w:rsidRPr="00AA7016">
              <w:rPr>
                <w:rFonts w:ascii="Arial" w:eastAsia="Arial" w:hAnsi="Arial" w:cs="Arial"/>
                <w:sz w:val="20"/>
                <w:szCs w:val="20"/>
                <w:lang w:val="pt-PT"/>
              </w:rPr>
              <w:t>TDP: … 125 watts”.</w:t>
            </w:r>
          </w:p>
          <w:p w14:paraId="5412763C" w14:textId="77777777" w:rsidR="00BE6367" w:rsidRDefault="00C90F6A">
            <w:pPr>
              <w:spacing w:after="40"/>
              <w:jc w:val="both"/>
              <w:rPr>
                <w:rFonts w:ascii="Arial" w:eastAsia="Arial" w:hAnsi="Arial" w:cs="Arial"/>
                <w:sz w:val="20"/>
                <w:szCs w:val="20"/>
              </w:rPr>
            </w:pPr>
            <w:r w:rsidRPr="00AA7016">
              <w:rPr>
                <w:rFonts w:ascii="Arial" w:eastAsia="Arial" w:hAnsi="Arial" w:cs="Arial"/>
                <w:sz w:val="20"/>
                <w:szCs w:val="20"/>
                <w:lang w:val="pt-PT"/>
              </w:rPr>
              <w:t xml:space="preserve">GPU: “Mínimo 48 GB GDDR7 … ancho de banda igual o superior a 1.3 Tb/s … </w:t>
            </w:r>
            <w:r>
              <w:rPr>
                <w:rFonts w:ascii="Arial" w:eastAsia="Arial" w:hAnsi="Arial" w:cs="Arial"/>
                <w:sz w:val="20"/>
                <w:szCs w:val="20"/>
              </w:rPr>
              <w:t>ECC”.</w:t>
            </w:r>
          </w:p>
          <w:p w14:paraId="634EB842"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Monitor 27”: “IPS Black … Thunderbolt 4 upstream (DP 1.4 con DSC, PD hasta 140W) … KVM integrado”.</w:t>
            </w:r>
          </w:p>
          <w:p w14:paraId="5DFF9B5C" w14:textId="77777777" w:rsidR="00BE6367" w:rsidRPr="005C36D4" w:rsidRDefault="00C90F6A">
            <w:pPr>
              <w:spacing w:after="40"/>
              <w:jc w:val="both"/>
              <w:rPr>
                <w:rFonts w:ascii="Arial" w:eastAsia="Arial" w:hAnsi="Arial" w:cs="Arial"/>
                <w:sz w:val="20"/>
                <w:szCs w:val="20"/>
                <w:lang w:val="en-US"/>
              </w:rPr>
            </w:pPr>
            <w:r w:rsidRPr="005C36D4">
              <w:rPr>
                <w:rFonts w:ascii="Arial" w:eastAsia="Arial" w:hAnsi="Arial" w:cs="Arial"/>
                <w:sz w:val="20"/>
                <w:szCs w:val="20"/>
                <w:lang w:val="en-US"/>
              </w:rPr>
              <w:t>Teclado “gaming” con “Switches: Cherry MX Low Profile Red”; mouse “gaming” 19.000 DPI.</w:t>
            </w:r>
          </w:p>
        </w:tc>
        <w:tc>
          <w:tcPr>
            <w:tcW w:w="247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1F7FB07"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CPU: únicamente Intel Core Ultra 9 285K (Intel ARK: 8P+16E = 24C/24T, 5,7 GHz, 40 MB L2, 36 MB Intel Smart Cache, NPU 13 TOPS, 125 W). “Smart Cache” es denominación comercial de Intel.</w:t>
            </w:r>
          </w:p>
          <w:p w14:paraId="116616E2"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GPU: únicamente NVIDIA RTX PRO 5000 generación Blackwell (48 GB GDDR7 ECC, 1.344 GB/s). Ninguna GPU de AMD u otro fabricante ofrece 48 GB GDDR7 con ECC.</w:t>
            </w:r>
          </w:p>
          <w:p w14:paraId="14889FB1"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Monitor: los parámetros corresponden a la línea Dell UltraSharp 27 4K (tecnología “IPS Black”, TB4 140 W, KVM).</w:t>
            </w:r>
          </w:p>
        </w:tc>
        <w:tc>
          <w:tcPr>
            <w:tcW w:w="22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862F6A2"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AMD (Ryzen/Threadripper) y Xeon: excluidos por la relación 24 núcleos = 24 hilos (sin SMT), por la cifra exacta de cachés y por el término “Smart Cache”.</w:t>
            </w:r>
          </w:p>
          <w:p w14:paraId="679C7A91"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GPUs AMD Radeon PRO: excluidas (no existe modelo GDDR7 48 GB ECC).</w:t>
            </w:r>
          </w:p>
          <w:p w14:paraId="79170515"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Teclado/mouse: especificaciones transcritas de productos “gaming” de consumo específicos (switch Cherry MX Low Profile Red; sensor 19.000 DPI), contradicen la exigencia de “línea corporativa” del propio pliego.</w:t>
            </w:r>
          </w:p>
        </w:tc>
        <w:tc>
          <w:tcPr>
            <w:tcW w:w="1591" w:type="dxa"/>
            <w:tcBorders>
              <w:top w:val="single" w:sz="4" w:space="0" w:color="999999"/>
              <w:left w:val="single" w:sz="4" w:space="0" w:color="999999"/>
              <w:bottom w:val="single" w:sz="4" w:space="0" w:color="999999"/>
              <w:right w:val="single" w:sz="4" w:space="0" w:color="999999"/>
            </w:tcBorders>
          </w:tcPr>
          <w:p w14:paraId="032AF2DD"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No se acoge la observación. La exigencia de un procesador con mínimo 24 núcleos físicos (8 núcleos de alto desempeño con turbo de 5.5 a 5.7 GHz y 16 núcleos eficientes con turbo de 4.6 GHz), 24 hilos de ejecución, memoria caché de nivel 2 de 40 MB y Smart Cache de 36 MB, NPU de 13 TOPS y TDP base de 125W, con lanzamiento mínimo en el primer semestre de 2025, corresponde a los parámetros mínimos solicitados en la ficha técnica para garantizar el nivel de desempeño requerido por la Entidad.</w:t>
            </w:r>
          </w:p>
          <w:p w14:paraId="21B3C20F"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Se aclara que estas especificaciones no buscan restringir la participación a un único fabricante, sino establecer </w:t>
            </w:r>
            <w:r>
              <w:rPr>
                <w:rFonts w:ascii="Arial" w:eastAsia="Arial" w:hAnsi="Arial" w:cs="Arial"/>
                <w:sz w:val="20"/>
                <w:szCs w:val="20"/>
              </w:rPr>
              <w:lastRenderedPageBreak/>
              <w:t>un estándar técnico mínimo que asegure desempeño sostenido, estabilidad térmica y energética, y vigencia tecnológica frente a las cargas de trabajo previstas. Dichos valores constituyen un parámetro indispensable para preservar la fluidez, tiempos de respuesta y confiabilidad del sistema, asegurando que la plataforma responda a los requerimientos actuales y futuros de la Entidad.</w:t>
            </w:r>
          </w:p>
          <w:p w14:paraId="08286EA8" w14:textId="77777777" w:rsidR="00BE6367" w:rsidRDefault="00BE6367">
            <w:pPr>
              <w:spacing w:after="40"/>
              <w:jc w:val="both"/>
              <w:rPr>
                <w:rFonts w:ascii="Arial" w:eastAsia="Arial" w:hAnsi="Arial" w:cs="Arial"/>
                <w:sz w:val="20"/>
                <w:szCs w:val="20"/>
              </w:rPr>
            </w:pPr>
          </w:p>
          <w:p w14:paraId="1229C5CD"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En cuanto a la tarjeta gráfica, se precisa que, tal como se indica en la ficha técnica, esta característica corresponde a un requisito mínimo de cumplimiento, y se aceptan especificaciones superiores al mismo. Por ello, no se enfatiza en una marca o modelo específico, sino en el </w:t>
            </w:r>
            <w:r>
              <w:rPr>
                <w:rFonts w:ascii="Arial" w:eastAsia="Arial" w:hAnsi="Arial" w:cs="Arial"/>
                <w:sz w:val="20"/>
                <w:szCs w:val="20"/>
              </w:rPr>
              <w:lastRenderedPageBreak/>
              <w:t>cumplimiento de los parámetros mínimos definidos para garantizar el desempeño requerido por los usuarios y la vigencia tecnológica del equipo.</w:t>
            </w:r>
          </w:p>
          <w:p w14:paraId="679607BC"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En consecuencia, se mantiene la especificación técnica definida en los documentos del proceso, dado que constituye un estándar mínimo necesario para garantizar rendimiento, confiabilidad y continuidad operativa en los escenarios de uso institucional.</w:t>
            </w:r>
          </w:p>
          <w:p w14:paraId="01B3B555" w14:textId="77777777" w:rsidR="00BE6367" w:rsidRDefault="00BE6367">
            <w:pPr>
              <w:spacing w:after="40"/>
              <w:jc w:val="both"/>
              <w:rPr>
                <w:rFonts w:ascii="Arial" w:eastAsia="Arial" w:hAnsi="Arial" w:cs="Arial"/>
                <w:sz w:val="20"/>
                <w:szCs w:val="20"/>
              </w:rPr>
            </w:pPr>
          </w:p>
          <w:p w14:paraId="66401EEC"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Adicionalmente, el comité técnico, luego de un nuevo y detenido análisis de la observación planteada, ha decidido aceptar parcialmente el señalamiento del interesado, en el entendido de que la utilización del término asociado a un segmento de consumo recreativo para describir </w:t>
            </w:r>
            <w:r>
              <w:rPr>
                <w:rFonts w:ascii="Arial" w:eastAsia="Arial" w:hAnsi="Arial" w:cs="Arial"/>
                <w:sz w:val="20"/>
                <w:szCs w:val="20"/>
              </w:rPr>
              <w:lastRenderedPageBreak/>
              <w:t>determinados periféricos pudo dar lugar a una interpretación equívoca sobre la naturaleza del requerimiento.</w:t>
            </w:r>
          </w:p>
          <w:p w14:paraId="44EF218C"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En consecuencia, se suprime cualquier referencia terminológica que pudiera vincular las especificaciones con líneas de uso recreativo, aclarando que las prestaciones exigidas responden exclusivamente a criterios de rendimiento, durabilidad y ergonomía propios del entorno corporativo de alta exigencia.</w:t>
            </w:r>
          </w:p>
          <w:p w14:paraId="24E6D23A"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No obstante, la entidad rechaza la pretensión de modificar los parámetros técnicos de los monitores y periféricos.</w:t>
            </w:r>
          </w:p>
          <w:p w14:paraId="461BB0CB"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La tecnología de panel solicitada caracterizada por una relación de contraste elevada, amplios ángulos de visión y alta fidelidad cromática no es </w:t>
            </w:r>
            <w:r>
              <w:rPr>
                <w:rFonts w:ascii="Arial" w:eastAsia="Arial" w:hAnsi="Arial" w:cs="Arial"/>
                <w:sz w:val="20"/>
                <w:szCs w:val="20"/>
              </w:rPr>
              <w:lastRenderedPageBreak/>
              <w:t>privativa de un solo fabricante. Si bien en el mercado existen denominaciones comerciales asociadas a determinadas líneas de productos, la tecnología subyacente corresponde a estándares de fabricación que han sido adoptados y licenciados por múltiples proveedores a nivel global, cada uno de los cuales puede ofrecer paneles con prestaciones equivalentes o superiores bajo su propia nomenclatura.</w:t>
            </w:r>
          </w:p>
          <w:p w14:paraId="2F5A3EA7"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De manera análoga, los protocolos de conectividad (transmisión de datos, video y energía a través de un único puerto) responden a especificaciones abiertas, certificadas por organismos internacionales y disponibles para cualquier fabricante que </w:t>
            </w:r>
            <w:r>
              <w:rPr>
                <w:rFonts w:ascii="Arial" w:eastAsia="Arial" w:hAnsi="Arial" w:cs="Arial"/>
                <w:sz w:val="20"/>
                <w:szCs w:val="20"/>
              </w:rPr>
              <w:lastRenderedPageBreak/>
              <w:t>desee implementarlas, sin que exista restricción de uso o exclusividad.</w:t>
            </w:r>
          </w:p>
          <w:p w14:paraId="34225D84"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En cuanto a los periféricos, las características de durabilidad mecánica, precisión de rastreo y atributos ergonómicos constituyen requerimientos de alto rendimiento plenamente compatibles con el entorno corporativo, y no se circunscriben a un segmento de consumo específico. Su inclusión en la ficha obedece a criterios de salud ocupacional, reducción de costos de reemplazo y mejora de la productividad, y su cumplimiento es alcanzable por múltiples marcas que ofrecen líneas profesionales con estas prestaciones.</w:t>
            </w:r>
          </w:p>
          <w:p w14:paraId="256A6A6B"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La exigencia de que la estación, los monitores y la cámara web sean </w:t>
            </w:r>
            <w:r>
              <w:rPr>
                <w:rFonts w:ascii="Arial" w:eastAsia="Arial" w:hAnsi="Arial" w:cs="Arial"/>
                <w:sz w:val="20"/>
                <w:szCs w:val="20"/>
              </w:rPr>
              <w:lastRenderedPageBreak/>
              <w:t>del mismo fabricante no implica direccionamiento, sino una condición de integración funcional que asegura interoperabilidad nativa, gestión centralizada de actualizaciones y un único punto de soporte técnico, aspectos que garantizan la continuidad operativa y el cumplimiento de los niveles de servicio.</w:t>
            </w:r>
          </w:p>
          <w:p w14:paraId="7E816010"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Por tanto, se acoge parcialmente su observación y se modifica únicamente el termino de “gaming” para evitar malinterpretaciones por los interesados.</w:t>
            </w:r>
          </w:p>
        </w:tc>
      </w:tr>
      <w:tr w:rsidR="00BE6367" w14:paraId="7A2F0C24" w14:textId="77777777">
        <w:tc>
          <w:tcPr>
            <w:tcW w:w="12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D83588D"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lastRenderedPageBreak/>
              <w:t>3 – Desktop Mini (20 und.)</w:t>
            </w:r>
          </w:p>
        </w:tc>
        <w:tc>
          <w:tcPr>
            <w:tcW w:w="2006"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2E8F696"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“CPU de 28 núcleos, GPU de 60 núcleos, Neural Engine de 32 núcleos”; “Memoria unificada de 96 GB”; “Magic Keyboard con Touch ID”; “Magic Mouse”; “Cámara 12MP Center Stage”; “Thunderbolt 4, 5”; </w:t>
            </w:r>
            <w:r>
              <w:rPr>
                <w:rFonts w:ascii="Arial" w:eastAsia="Arial" w:hAnsi="Arial" w:cs="Arial"/>
                <w:sz w:val="20"/>
                <w:szCs w:val="20"/>
              </w:rPr>
              <w:lastRenderedPageBreak/>
              <w:t>Ethernet 10 Gb; pantalla 27” 5K 600 nits; SO “nativo y del mismo fabricante … ecosistema cerrado y exclusivo de la marca”.</w:t>
            </w:r>
          </w:p>
        </w:tc>
        <w:tc>
          <w:tcPr>
            <w:tcW w:w="247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E489868"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lastRenderedPageBreak/>
              <w:t xml:space="preserve">Únicamente Apple Mac Studio con chip M3 Ultra (28 núcleos CPU, 60 núcleos GPU, Neural Engine de 32 núcleos, 96 GB de memoria unificada, Thunderbolt 5, Ethernet 10 Gb) + Apple Studio Display (27” 5K, 600 nits). “Magic Keyboard”, “Touch ID”, “Magic Mouse” y “Center </w:t>
            </w:r>
            <w:r>
              <w:rPr>
                <w:rFonts w:ascii="Arial" w:eastAsia="Arial" w:hAnsi="Arial" w:cs="Arial"/>
                <w:sz w:val="20"/>
                <w:szCs w:val="20"/>
              </w:rPr>
              <w:lastRenderedPageBreak/>
              <w:t>Stage” son marcas registradas de Apple Inc.</w:t>
            </w:r>
          </w:p>
        </w:tc>
        <w:tc>
          <w:tcPr>
            <w:tcW w:w="22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20BA54D"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lastRenderedPageBreak/>
              <w:t>Todos los demás fabricantes (Windows/Linux): excluidos expresamente por la exigencia de sistema operativo de “ecosistema cerrado y exclusivo de la marca” y por el uso de nombres comerciales de productos Apple.</w:t>
            </w:r>
          </w:p>
        </w:tc>
        <w:tc>
          <w:tcPr>
            <w:tcW w:w="1591" w:type="dxa"/>
            <w:tcBorders>
              <w:top w:val="single" w:sz="4" w:space="0" w:color="999999"/>
              <w:left w:val="single" w:sz="4" w:space="0" w:color="999999"/>
              <w:bottom w:val="single" w:sz="4" w:space="0" w:color="999999"/>
              <w:right w:val="single" w:sz="4" w:space="0" w:color="999999"/>
            </w:tcBorders>
          </w:tcPr>
          <w:p w14:paraId="33D13472"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No se acoge la observación. Se precisa que las especificaciones técnicas establecidas en la ficha corresponden a los requisitos mínimos solicitados para este tipo de equipos, </w:t>
            </w:r>
            <w:r>
              <w:rPr>
                <w:rFonts w:ascii="Arial" w:eastAsia="Arial" w:hAnsi="Arial" w:cs="Arial"/>
                <w:sz w:val="20"/>
                <w:szCs w:val="20"/>
              </w:rPr>
              <w:lastRenderedPageBreak/>
              <w:t>definidos con el fin de garantizar el desempeño, compatibilidad y funcionalidad requeridos por la Entidad.</w:t>
            </w:r>
          </w:p>
          <w:p w14:paraId="7BD5B91A"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Las características descritas: procesador multinúcleo, memoria unificada, periféricos integrados, conectividad avanzada y sistema operativo nativo del mismo fabricante, hacen parte de los parámetros técnicos mínimos exigidos para asegurar la operación de los usuarios en el entorno previsto.</w:t>
            </w:r>
          </w:p>
          <w:p w14:paraId="512B036B" w14:textId="77777777" w:rsidR="00BE6367" w:rsidRDefault="00BE6367">
            <w:pPr>
              <w:spacing w:after="40"/>
              <w:jc w:val="both"/>
              <w:rPr>
                <w:rFonts w:ascii="Arial" w:eastAsia="Arial" w:hAnsi="Arial" w:cs="Arial"/>
                <w:sz w:val="20"/>
                <w:szCs w:val="20"/>
              </w:rPr>
            </w:pPr>
          </w:p>
        </w:tc>
      </w:tr>
      <w:tr w:rsidR="00BE6367" w14:paraId="763332CE" w14:textId="77777777">
        <w:tc>
          <w:tcPr>
            <w:tcW w:w="12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9F1ACF9"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lastRenderedPageBreak/>
              <w:t>4 – Portátil (5 und.)</w:t>
            </w:r>
          </w:p>
        </w:tc>
        <w:tc>
          <w:tcPr>
            <w:tcW w:w="2006"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785BBE0"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“Color Negro Espacial”; “Pantalla de 14” liquidaXDR” 3024×1964; “Magic Keyboard retroiluminado. Touch ID”; “Trackpad Force Touch”; “Puerto MagSafe 3”; “3 – Puertos Thunderbolt 5”; “Cámara 12MP Center Stage”; batería “72.4 Wh”; adaptador “96 W”.</w:t>
            </w:r>
          </w:p>
        </w:tc>
        <w:tc>
          <w:tcPr>
            <w:tcW w:w="247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0855E1C"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Únicamente Apple MacBook Pro 14” (Liquid Retina XDR 3024×1964, MagSafe 3, Thunderbolt 5, batería 72,4 Wh, acabado “negro espacial”). Los términos citados son denominaciones comerciales exclusivas de Apple.</w:t>
            </w:r>
          </w:p>
        </w:tc>
        <w:tc>
          <w:tcPr>
            <w:tcW w:w="22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7783AED"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Todos los demás fabricantes: excluidos por diseño (color, conector MagSafe, teclado y trackpad propietarios, panel “Liquid XDR”).</w:t>
            </w:r>
          </w:p>
        </w:tc>
        <w:tc>
          <w:tcPr>
            <w:tcW w:w="1591" w:type="dxa"/>
            <w:tcBorders>
              <w:top w:val="single" w:sz="4" w:space="0" w:color="999999"/>
              <w:left w:val="single" w:sz="4" w:space="0" w:color="999999"/>
              <w:bottom w:val="single" w:sz="4" w:space="0" w:color="999999"/>
              <w:right w:val="single" w:sz="4" w:space="0" w:color="999999"/>
            </w:tcBorders>
          </w:tcPr>
          <w:p w14:paraId="6A797F85"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No se acepta la observación.</w:t>
            </w:r>
          </w:p>
          <w:p w14:paraId="521E00F5"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La Entidad mantiene las especificaciones técnicas establecidas para este perfil de equipo, toda vez que las características requeridas responden a las necesidades funcionales de los usuarios que </w:t>
            </w:r>
            <w:r>
              <w:rPr>
                <w:rFonts w:ascii="Arial" w:eastAsia="Arial" w:hAnsi="Arial" w:cs="Arial"/>
                <w:sz w:val="20"/>
                <w:szCs w:val="20"/>
              </w:rPr>
              <w:lastRenderedPageBreak/>
              <w:t>harán uso de estos equipos, en atención a las actividades propias de su labor y a los requerimientos de desempeño, movilidad, conectividad, autonomía y experiencia de uso necesarios para el adecuado desarrollo de sus funciones.</w:t>
            </w:r>
          </w:p>
          <w:p w14:paraId="6417A991" w14:textId="77777777" w:rsidR="00BE6367" w:rsidRDefault="00BE6367">
            <w:pPr>
              <w:spacing w:after="40"/>
              <w:jc w:val="both"/>
              <w:rPr>
                <w:rFonts w:ascii="Arial" w:eastAsia="Arial" w:hAnsi="Arial" w:cs="Arial"/>
                <w:sz w:val="20"/>
                <w:szCs w:val="20"/>
              </w:rPr>
            </w:pPr>
          </w:p>
          <w:p w14:paraId="7AD11576"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En este sentido, las especificaciones definidas obedecen a las necesidades operativas identificadas por la Entidad para este grupo de usuarios y hacen parte de las condiciones técnicas requeridas para garantizar el cumplimiento de las actividades institucionales previstas.</w:t>
            </w:r>
          </w:p>
          <w:p w14:paraId="42313E63" w14:textId="77777777" w:rsidR="00BE6367" w:rsidRDefault="00BE6367">
            <w:pPr>
              <w:spacing w:after="40"/>
              <w:jc w:val="both"/>
              <w:rPr>
                <w:rFonts w:ascii="Arial" w:eastAsia="Arial" w:hAnsi="Arial" w:cs="Arial"/>
                <w:sz w:val="20"/>
                <w:szCs w:val="20"/>
              </w:rPr>
            </w:pPr>
          </w:p>
        </w:tc>
      </w:tr>
      <w:tr w:rsidR="00BE6367" w14:paraId="3C0719E2" w14:textId="77777777">
        <w:tc>
          <w:tcPr>
            <w:tcW w:w="12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530F6AF"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lastRenderedPageBreak/>
              <w:t>5 – Tableta (3 und.)</w:t>
            </w:r>
          </w:p>
        </w:tc>
        <w:tc>
          <w:tcPr>
            <w:tcW w:w="2006"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2745623"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“Resolución 2420 x 1668 o superior”; eSIM; SO “nativo y del mismo fabricante de la tablet siendo este de un ecosistema cerrado”; batería </w:t>
            </w:r>
            <w:r>
              <w:rPr>
                <w:rFonts w:ascii="Arial" w:eastAsia="Arial" w:hAnsi="Arial" w:cs="Arial"/>
                <w:sz w:val="20"/>
                <w:szCs w:val="20"/>
              </w:rPr>
              <w:lastRenderedPageBreak/>
              <w:t>“9800 mAh/ 10.880 mAh”.</w:t>
            </w:r>
          </w:p>
        </w:tc>
        <w:tc>
          <w:tcPr>
            <w:tcW w:w="247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4197042"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lastRenderedPageBreak/>
              <w:t xml:space="preserve">La resolución 2420×1668 y el “ecosistema cerrado” corresponden al Apple iPad Pro de 11” (Ultra Retina XDR 2420×1668). Ningún otro fabricante ofrece esa resolución </w:t>
            </w:r>
            <w:r>
              <w:rPr>
                <w:rFonts w:ascii="Arial" w:eastAsia="Arial" w:hAnsi="Arial" w:cs="Arial"/>
                <w:sz w:val="20"/>
                <w:szCs w:val="20"/>
              </w:rPr>
              <w:lastRenderedPageBreak/>
              <w:t>exacta con ecosistema cerrado.</w:t>
            </w:r>
          </w:p>
        </w:tc>
        <w:tc>
          <w:tcPr>
            <w:tcW w:w="22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EF44AE5"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lastRenderedPageBreak/>
              <w:t xml:space="preserve">Android (Samsung, Lenovo, Huawei): excluidos por “ecosistema cerrado y exclusivo de la marca”. Inconsistencia: Apple no publica capacidad en mAh y las cifras </w:t>
            </w:r>
            <w:r>
              <w:rPr>
                <w:rFonts w:ascii="Arial" w:eastAsia="Arial" w:hAnsi="Arial" w:cs="Arial"/>
                <w:sz w:val="20"/>
                <w:szCs w:val="20"/>
              </w:rPr>
              <w:lastRenderedPageBreak/>
              <w:t>“9800/10.880 mAh” no corresponden a especificaciones publicadas del iPad Pro 11”, por lo que el requisito, leído literalmente, podría ser de imposible cumplimiento simultáneo.</w:t>
            </w:r>
          </w:p>
        </w:tc>
        <w:tc>
          <w:tcPr>
            <w:tcW w:w="1591" w:type="dxa"/>
            <w:tcBorders>
              <w:top w:val="single" w:sz="4" w:space="0" w:color="999999"/>
              <w:left w:val="single" w:sz="4" w:space="0" w:color="999999"/>
              <w:bottom w:val="single" w:sz="4" w:space="0" w:color="999999"/>
              <w:right w:val="single" w:sz="4" w:space="0" w:color="999999"/>
            </w:tcBorders>
          </w:tcPr>
          <w:p w14:paraId="7CEA38DC"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lastRenderedPageBreak/>
              <w:t xml:space="preserve">Se acepta parcialmente la observación. Con el fin de promover una mayor pluralidad de oferentes y permitir la </w:t>
            </w:r>
            <w:r>
              <w:rPr>
                <w:rFonts w:ascii="Arial" w:eastAsia="Arial" w:hAnsi="Arial" w:cs="Arial"/>
                <w:sz w:val="20"/>
                <w:szCs w:val="20"/>
              </w:rPr>
              <w:lastRenderedPageBreak/>
              <w:t>participación de un mayor número de soluciones tecnológicas disponibles en el mercado, la Entidad suprimirá las especificaciones correspondientes a "9800 mAh / 10.880 mAh" y "Uso de internet (Wi-Fi)", considerando que estos parámetros pueden variar según la metodología de medición y la forma en que cada fabricante publica las características de sus dispositivos.</w:t>
            </w:r>
          </w:p>
          <w:p w14:paraId="409451EC"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En consecuencia, el requisito será ajustado a:</w:t>
            </w:r>
          </w:p>
          <w:p w14:paraId="1517AA45"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t>"Batería: Mínimo 10 horas o superior."</w:t>
            </w:r>
          </w:p>
          <w:p w14:paraId="47EBE33F"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Lo anterior permite evaluar el desempeño esperado del dispositivo desde una perspectiva funcional, garantizando el cumplimiento de la necesidad de autonomía requerida por la Entidad, sin limitar la participación de </w:t>
            </w:r>
            <w:r>
              <w:rPr>
                <w:rFonts w:ascii="Arial" w:eastAsia="Arial" w:hAnsi="Arial" w:cs="Arial"/>
                <w:sz w:val="20"/>
                <w:szCs w:val="20"/>
              </w:rPr>
              <w:lastRenderedPageBreak/>
              <w:t>tecnologías equivalentes disponibles en el mercado.</w:t>
            </w:r>
          </w:p>
          <w:p w14:paraId="3F79BAFC" w14:textId="77777777" w:rsidR="00BE6367" w:rsidRDefault="00BE6367">
            <w:pPr>
              <w:spacing w:after="40"/>
              <w:jc w:val="both"/>
              <w:rPr>
                <w:rFonts w:ascii="Arial" w:eastAsia="Arial" w:hAnsi="Arial" w:cs="Arial"/>
                <w:sz w:val="20"/>
                <w:szCs w:val="20"/>
              </w:rPr>
            </w:pPr>
          </w:p>
        </w:tc>
      </w:tr>
      <w:tr w:rsidR="00BE6367" w14:paraId="58CAAAAC" w14:textId="77777777">
        <w:tc>
          <w:tcPr>
            <w:tcW w:w="12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778BFC0"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lastRenderedPageBreak/>
              <w:t>9 – Monitor (50 und.)</w:t>
            </w:r>
          </w:p>
        </w:tc>
        <w:tc>
          <w:tcPr>
            <w:tcW w:w="2006"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E6121FB"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23,8” FHD, 250 nits, HDMI 1.4 + VGA, tasa mínima 80 Hz; “fabricante debe contar con categoría Promoter en el TCG”.</w:t>
            </w:r>
          </w:p>
        </w:tc>
        <w:tc>
          <w:tcPr>
            <w:tcW w:w="247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F61967E"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Varios modelos corporativos de Dell, HP y Lenovo pueden cumplir (por ejemplo, líneas Dell serie P/E de 100 Hz con VGA). Requisito multi-marca dentro del subconjunto Dell/HP/Lenovo.</w:t>
            </w:r>
          </w:p>
        </w:tc>
        <w:tc>
          <w:tcPr>
            <w:tcW w:w="22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DD7206F"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LG, Samsung, Asus, Acer, ViewSonic, AOC, BenQ y demás especialistas en monitores: excluidos porque sus fabricantes no son “Promoter” del TCG (lista oficial TCG: AMD, Arm, Cisco, Dell, Google, HPE, HP Inc., Huawei, IBM, Infineon, Intel, Lenovo, Microsoft, NVIDIA, Toyota).</w:t>
            </w:r>
          </w:p>
        </w:tc>
        <w:tc>
          <w:tcPr>
            <w:tcW w:w="1591" w:type="dxa"/>
            <w:tcBorders>
              <w:top w:val="single" w:sz="4" w:space="0" w:color="999999"/>
              <w:left w:val="single" w:sz="4" w:space="0" w:color="999999"/>
              <w:bottom w:val="single" w:sz="4" w:space="0" w:color="999999"/>
              <w:right w:val="single" w:sz="4" w:space="0" w:color="999999"/>
            </w:tcBorders>
          </w:tcPr>
          <w:p w14:paraId="41043929"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No se acepta la observación. Los requisitos técnicos y de certificación establecidos constituyen los mínimos necesarios para garantizar la seguridad, confiabilidad y desempeño de los equipos ofertados. La exigencia de que el fabricante sea miembro activo del Trusted Computing Group (TCG) en la categoría Promoter responde a la necesidad de asegurar que los equipos y periféricos (incluidos monitores, teclados y mouse) provengan de fabricantes con participación plena y verificable en el desarrollo de los estándares internacionales de seguridad </w:t>
            </w:r>
            <w:r>
              <w:rPr>
                <w:rFonts w:ascii="Arial" w:eastAsia="Arial" w:hAnsi="Arial" w:cs="Arial"/>
                <w:sz w:val="20"/>
                <w:szCs w:val="20"/>
              </w:rPr>
              <w:lastRenderedPageBreak/>
              <w:t>para plataformas de cómputo.</w:t>
            </w:r>
          </w:p>
          <w:p w14:paraId="5A11B707"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Este requisito busca garantizar que los periféricos ofertados sean totalmente compatibles con los equipos principales bajo los mismos parámetros de fabricantes, asegurando uniformidad, interoperabilidad y cumplimiento de las especificaciones técnicas exigidas en el pliego.</w:t>
            </w:r>
          </w:p>
          <w:p w14:paraId="74A77F47"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En consecuencia, únicamente se aceptarán equipos y periféricos cuyos fabricantes acrediten la membresía en la categoría Promoter o superior, condición verificable en el sitio web oficial de Trusted Computing Group. Se aclara además que existe pluralidad de marcas en el mercado que cumplen con este requisito, lo que garantiza la libre concurrencia y la </w:t>
            </w:r>
            <w:r>
              <w:rPr>
                <w:rFonts w:ascii="Arial" w:eastAsia="Arial" w:hAnsi="Arial" w:cs="Arial"/>
                <w:sz w:val="20"/>
                <w:szCs w:val="20"/>
              </w:rPr>
              <w:lastRenderedPageBreak/>
              <w:t>selección objetiva dentro del proceso.</w:t>
            </w:r>
          </w:p>
        </w:tc>
      </w:tr>
      <w:tr w:rsidR="00BE6367" w14:paraId="3F047024" w14:textId="77777777">
        <w:tc>
          <w:tcPr>
            <w:tcW w:w="12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2026744"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lastRenderedPageBreak/>
              <w:t>10 y 11 – Teclado y Mouse (50 + 50 und.)</w:t>
            </w:r>
          </w:p>
        </w:tc>
        <w:tc>
          <w:tcPr>
            <w:tcW w:w="2006"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1409349"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Teclado alámbrico USB 101 teclas antiderrames; mouse óptico USB 2 botones y scroll; en ambos: “fabricante debe contar con categoría Promoter en el TCG”.</w:t>
            </w:r>
          </w:p>
        </w:tc>
        <w:tc>
          <w:tcPr>
            <w:tcW w:w="2474"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55F53D4"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Especificación funcional genérica que cumplirían múltiples marcas; restringida en la práctica a Dell, HP y Lenovo por el requisito TCG Promoter.</w:t>
            </w:r>
          </w:p>
        </w:tc>
        <w:tc>
          <w:tcPr>
            <w:tcW w:w="229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51FAC9B"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Logitech, Genius, Microsoft-terceros y demás fabricantes de periféricos: excluidos por el requisito TCG Promoter, que carece de relación técnica con un teclado o un mouse (el TCG regula módulos de plataforma segura TPM, no periféricos de entrada).</w:t>
            </w:r>
          </w:p>
        </w:tc>
        <w:tc>
          <w:tcPr>
            <w:tcW w:w="1591" w:type="dxa"/>
            <w:tcBorders>
              <w:top w:val="single" w:sz="4" w:space="0" w:color="999999"/>
              <w:left w:val="single" w:sz="4" w:space="0" w:color="999999"/>
              <w:bottom w:val="single" w:sz="4" w:space="0" w:color="999999"/>
              <w:right w:val="single" w:sz="4" w:space="0" w:color="999999"/>
            </w:tcBorders>
          </w:tcPr>
          <w:p w14:paraId="1B2D7FD1"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No se acepta la observación. Los requisitos técnicos y de certificación establecidos constituyen los mínimos necesarios para garantizar la seguridad, confiabilidad y desempeño de los equipos ofertados. La exigencia de que el fabricante sea miembro activo del Trusted Computing Group (TCG) en la categoría Promoter responde a la necesidad de asegurar que los equipos y periféricos (incluidos monitores, teclados y mouse) provengan de fabricantes con participación plena y verificable en el desarrollo de los estándares internacionales de seguridad para plataformas de cómputo.</w:t>
            </w:r>
          </w:p>
          <w:p w14:paraId="3B8D2FAC"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lastRenderedPageBreak/>
              <w:t>Este requisito busca garantizar que los periféricos ofertados sean totalmente compatibles con los equipos principales bajo los mismos parámetros de fabricantes, asegurando uniformidad, interoperabilidad y cumplimiento de las especificaciones técnicas exigidas en el pliego.</w:t>
            </w:r>
          </w:p>
          <w:p w14:paraId="326A9C8C"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En consecuencia, únicamente se aceptarán equipos y periféricos cuyos fabricantes acrediten la membresía en la categoría Promoter o superior, condición verificable en el sitio web oficial de Trusted Computing Group. Se aclara además que existe pluralidad de marcas en el mercado que cumplen con este requisito, lo que garantiza la libre concurrencia y la selección objetiva </w:t>
            </w:r>
            <w:r>
              <w:rPr>
                <w:rFonts w:ascii="Arial" w:eastAsia="Arial" w:hAnsi="Arial" w:cs="Arial"/>
                <w:sz w:val="20"/>
                <w:szCs w:val="20"/>
              </w:rPr>
              <w:lastRenderedPageBreak/>
              <w:t>dentro del proceso.</w:t>
            </w:r>
          </w:p>
        </w:tc>
      </w:tr>
    </w:tbl>
    <w:p w14:paraId="284EE148" w14:textId="77777777" w:rsidR="00BE6367" w:rsidRDefault="00BE6367">
      <w:pPr>
        <w:spacing w:line="276" w:lineRule="auto"/>
        <w:jc w:val="both"/>
        <w:rPr>
          <w:rFonts w:ascii="Arial" w:eastAsia="Arial" w:hAnsi="Arial" w:cs="Arial"/>
          <w:sz w:val="20"/>
          <w:szCs w:val="20"/>
        </w:rPr>
      </w:pPr>
    </w:p>
    <w:p w14:paraId="75255694" w14:textId="77777777" w:rsidR="00BE6367" w:rsidRDefault="00C90F6A">
      <w:pPr>
        <w:pStyle w:val="Heading1"/>
        <w:spacing w:before="320"/>
        <w:jc w:val="both"/>
        <w:rPr>
          <w:rFonts w:ascii="Arial" w:eastAsia="Arial" w:hAnsi="Arial" w:cs="Arial"/>
          <w:sz w:val="20"/>
          <w:szCs w:val="20"/>
        </w:rPr>
      </w:pPr>
      <w:r>
        <w:rPr>
          <w:rFonts w:ascii="Arial" w:eastAsia="Arial" w:hAnsi="Arial" w:cs="Arial"/>
          <w:sz w:val="20"/>
          <w:szCs w:val="20"/>
        </w:rPr>
        <w:t>5. OBSERVACIONES JURÍDICAS</w:t>
      </w:r>
    </w:p>
    <w:p w14:paraId="34775A49" w14:textId="77777777" w:rsidR="00BE6367" w:rsidRDefault="00C90F6A">
      <w:pPr>
        <w:pStyle w:val="Heading2"/>
        <w:spacing w:before="260" w:after="160"/>
        <w:jc w:val="both"/>
        <w:rPr>
          <w:rFonts w:ascii="Arial" w:eastAsia="Arial" w:hAnsi="Arial" w:cs="Arial"/>
          <w:sz w:val="20"/>
          <w:szCs w:val="20"/>
        </w:rPr>
      </w:pPr>
      <w:r>
        <w:rPr>
          <w:rFonts w:ascii="Arial" w:eastAsia="Arial" w:hAnsi="Arial" w:cs="Arial"/>
          <w:sz w:val="20"/>
          <w:szCs w:val="20"/>
        </w:rPr>
        <w:t>5.1. Observación No. 10 – Naturaleza de los bienes y procedencia del mecanismo de bolsa de productos</w:t>
      </w:r>
    </w:p>
    <w:p w14:paraId="61CF795C"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El literal a) del numeral 2 del artículo 2 de la Ley 1150 de 2007 dispone que la adquisición de “bienes y servicios de características técnicas uniformes y de común utilización” podrá hacerse, entre otros mecanismos, a través de bolsas de productos. Este mecanismo, desarrollado por los artículos 2.2.1.2.1.2.11 a 2.2.1.2.1.2.19 del Decreto 1082 de 2015 y por el Reglamento de Funcionamiento y Operación de la Bolsa Mercantil de Colombia, no es de libre escogencia para la Entidad: su procedencia depende de que los bienes objeto de la operación ostenten, en efecto, la condición de características técnicas uniformes. Se trata de un presupuesto habilitante del procedimiento y no de una simple formalidad, pues toda la arquitectura de la rueda de negociación, la puja por precio, la sustituibilidad de los productos, la compensación y liquidación por conducto de la Bolsa— descansa sobre la premisa de que cualquier bien que satisfaga la ficha técnica es intercambiable con cualquier otro que también la satisfaga.</w:t>
      </w:r>
    </w:p>
    <w:p w14:paraId="6F6FAC44"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El artículo 2.2.1.1.1.3.1 del Decreto 1082 de 2015 define los bienes y servicios de características técnicas uniformes como aquellos que poseen las mismas especificaciones técnicas, con independencia de su diseño o de sus características descriptivas, y que comparten patrones de desempeño y calidad objetivamente definidos. De esta definición se desprenden dos consecuencias directamente aplicables al proceso: (i) el diseño y las características descriptivas, color, denominaciones comerciales, formato físico, ecosistema de software propietario, no pueden ser el criterio que delimite el bien, porque la norma manda prescindir de ellos; y (ii) los patrones de desempeño deben definirse objetivamente, esto es, mediante magnitudes funcionales verificables (capacidad, rendimiento, certificaciones de estándares abiertos) y no mediante la transcripción de la hoja de datos de un producto singular. Colombia Compra Eficiente, en sus guías sobre la adquisición en bolsa de productos, ha insistido en que la uniformidad se predica de la posibilidad real de agrupar bienes homogéneos de distintos fabricantes bajo una misma ficha.</w:t>
      </w:r>
    </w:p>
    <w:p w14:paraId="2A30917C"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Contrastadas las fichas del proceso con ese estándar normativo, se advierte que varios de los bienes no se comportan como bienes uniformes sino como productos singularizados: el procesador del ítem 1 reproduce parámetro por parámetro la hoja de especificaciones del Intel Core Ultra 5 245; el del ítem 2, la del Intel Core Ultra 9 285K, incluida la denominación comercial “Smart Cache”; la tarjeta gráfica del ítem 2 solo la satisface la NVIDIA RTX PRO 5000 Blackwell; y los ítems 3, 4 y 5 describen, con sus marcas registradas y cifras exactas de catálogo, el Apple Mac Studio, el Apple MacBook Pro de 14” y el Apple iPad Pro de 11”, con exigencia expresa de “ecosistema cerrado y exclusivo de la marca”. Cuando la especificación técnica solo puede ser satisfecha por un producto de un fabricante, desaparece la sustituibilidad que constituye la esencia del bien uniforme: la puja por precio se reduce a una competencia entre distribuidores de un mismo producto, si no a una operación con proveedor único, y el mecanismo de bolsa pierde su razón de ser.</w:t>
      </w:r>
    </w:p>
    <w:p w14:paraId="244A015D"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lastRenderedPageBreak/>
        <w:t>A lo anterior se suma que el conjunto incluye ítems que difícilmente encuadran en la categoría de bienes de características técnicas uniformes y de común utilización, tales como el acondicionamiento acústico (ítem 51), el suministro e instalación de accesorios y cableado (ítem 52), el acondicionamiento general (ítem 53) y los servicios de instalación, configuración, puesta en marcha, programación de automatización, mantenimientos y soporte especializado de la sala de audiencias (ítems 54 a 57), que en conjunto superan los $1.600 millones y corresponden a servicios de integración e intervención física cuya ejecución depende de las condiciones particulares del inmueble y del diseño de la solución, no de patrones homogéneos de mercado.</w:t>
      </w:r>
    </w:p>
    <w:p w14:paraId="462312EB"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Consecuencias y solicitud: la utilización del mecanismo de selección abreviada por bolsa de productos para bienes que no son uniformes compromete la validez del procedimiento, desconoce el deber de planeación que se concreta en los estudios y documentos previos (artículo 2.2.1.1.2.1.1 del Decreto 1082 de 2015) y en el análisis del sector (artículo 2.2.1.1.1.6.1 ibídem), y expone a la Entidad y a sus servidores a los controles fiscal y disciplinario correspondientes. Respetuosamente se solicita que la Entidad acredite en los estudios previos, ítem por ítem, la condición de bien o servicio de características técnicas uniformes y de común utilización, demostrando que al menos dos fabricantes distintos ofrecen productos que satisfacen integralmente cada ficha, y que excluya del conjunto, para tramitarlos por la modalidad de selección que corresponda, aquellos ítems que no superen dicha verificación.</w:t>
      </w:r>
    </w:p>
    <w:p w14:paraId="4A999BCF" w14:textId="77777777" w:rsidR="00BE6367" w:rsidRDefault="00C90F6A">
      <w:pPr>
        <w:pStyle w:val="Heading2"/>
        <w:spacing w:before="260" w:after="160"/>
        <w:jc w:val="both"/>
        <w:rPr>
          <w:rFonts w:ascii="Arial" w:eastAsia="Arial" w:hAnsi="Arial" w:cs="Arial"/>
          <w:b/>
          <w:bCs/>
          <w:color w:val="000000"/>
          <w:sz w:val="20"/>
          <w:szCs w:val="20"/>
        </w:rPr>
      </w:pPr>
      <w:r>
        <w:rPr>
          <w:rFonts w:ascii="Arial" w:eastAsia="Arial" w:hAnsi="Arial" w:cs="Arial"/>
          <w:b/>
          <w:bCs/>
          <w:color w:val="000000"/>
          <w:sz w:val="20"/>
          <w:szCs w:val="20"/>
        </w:rPr>
        <w:t>RESPUESTA A OBSERVACIÓN:</w:t>
      </w:r>
    </w:p>
    <w:p w14:paraId="01FB3742"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se acepta la observación.</w:t>
      </w:r>
    </w:p>
    <w:p w14:paraId="1D839766"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Entidad efectuó la estructuración del proceso con fundamento en la necesidad institucional identificada, las condiciones técnicas y funcionales requeridas, el comportamiento del sector, las alternativas disponibles en el mercado, los riesgos asociados a la contratación y el análisis económico correspondiente. Estos elementos se encuentran desarrollados en los estudios previos, el análisis del sector, las fichas técnicas, la matriz de riesgos y los demás documentos que soportan el proceso.</w:t>
      </w:r>
    </w:p>
    <w:p w14:paraId="5C53F547"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no se evidencia vulneración del principio de planeación ni utilización indebida de la modalidad de selección abreviada mediante bolsa de productos, por las razones jurídicas, técnicas y económicas que se exponen a continuación.</w:t>
      </w:r>
    </w:p>
    <w:p w14:paraId="1BF591BE" w14:textId="77777777" w:rsidR="00BE6367" w:rsidRDefault="00C90F6A">
      <w:pPr>
        <w:pStyle w:val="Heading3"/>
        <w:keepNext w:val="0"/>
        <w:keepLines w:val="0"/>
        <w:spacing w:before="280"/>
        <w:jc w:val="both"/>
        <w:rPr>
          <w:rFonts w:ascii="Arial" w:eastAsia="Arial" w:hAnsi="Arial" w:cs="Arial"/>
          <w:b/>
          <w:bCs/>
          <w:color w:val="000000"/>
          <w:sz w:val="20"/>
          <w:szCs w:val="20"/>
        </w:rPr>
      </w:pPr>
      <w:bookmarkStart w:id="2" w:name="_heading=h.iriqrq1dtras" w:colFirst="0" w:colLast="0"/>
      <w:bookmarkEnd w:id="2"/>
      <w:r>
        <w:rPr>
          <w:rFonts w:ascii="Arial" w:eastAsia="Arial" w:hAnsi="Arial" w:cs="Arial"/>
          <w:b/>
          <w:bCs/>
          <w:color w:val="000000"/>
          <w:sz w:val="20"/>
          <w:szCs w:val="20"/>
        </w:rPr>
        <w:t>1. Procedencia jurídica de la modalidad de selección</w:t>
      </w:r>
    </w:p>
    <w:p w14:paraId="36E4DD8C"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El literal a) del numeral 2 del artículo 2 de la Ley 1150 de 2007 establece que la adquisición o suministro de bienes y servicios de características técnicas uniformes y de común utilización puede adelantarse mediante subasta inversa, acuerdos marco de precios o procedimientos de adquisición en bolsas de productos. La misma disposición define estos bienes y servicios como aquellos que poseen especificaciones técnicas comparables, con independencia de su diseño o de sus características descriptivas, y que comparten patrones de desempeño y calidad objetivamente definidos.</w:t>
      </w:r>
    </w:p>
    <w:p w14:paraId="05140E31"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 xml:space="preserve">La condición de uniformidad, por tanto, no exige que los bienes sean idénticos en todos sus elementos comerciales, que pertenezcan a fabricantes diferentes o que carezcan de denominaciones técnicas propias de la industria. </w:t>
      </w:r>
    </w:p>
    <w:p w14:paraId="6D712878"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Lo determinante es que la necesidad pueda expresarse mediante condiciones mínimas, objetivas, medibles y verificables, de forma que las soluciones ofrecidas puedan compararse bajo una misma regla técnica.</w:t>
      </w:r>
    </w:p>
    <w:p w14:paraId="292A660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lastRenderedPageBreak/>
        <w:t>En el presente proceso, las fichas establecen capacidades mínimas de procesamiento, memoria, almacenamiento, conectividad, rendimiento gráfico, eficiencia energética, compatibilidad, seguridad, garantía, calidad y demás atributos requeridos para atender los perfiles funcionales definidos por la Entidad. En consecuencia, la verificación de las ofertas recae sobre el cumplimiento integral de estos parámetros y no exclusivamente sobre la marca o la referencia comercial del producto.</w:t>
      </w:r>
    </w:p>
    <w:p w14:paraId="5A99CE46"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El Decreto 1082 de 2015 dispone que las fichas de los bienes y servicios de características técnicas uniformes deben contener su clasificación, identificación adicional, unidad de medida, calidad mínima y patrones mínimos de desempeño. La norma no exige que la Entidad demuestre, como requisito de procedencia de la modalidad, que cada ficha puede ser atendida por un número mínimo de fabricantes.</w:t>
      </w:r>
    </w:p>
    <w:p w14:paraId="598B2D31"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Por esta razón, la solicitud de acreditar, ítem por ítem, la existencia de al menos dos fabricantes introduce una exigencia que no se encuentra prevista en la Ley 1150 de 2007 ni en el Decreto 1082 de 2015. La pluralidad del mercado puede encontrarse conformada por fabricantes, distribuidores, mayoristas, canales autorizados, integradores y demás proveedores habilitados para comercializar y soportar los bienes requeridos.</w:t>
      </w:r>
    </w:p>
    <w:p w14:paraId="4B51A1D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 xml:space="preserve">Debe distinguirse, además, entre </w:t>
      </w:r>
      <w:r>
        <w:rPr>
          <w:rFonts w:ascii="Arial" w:eastAsia="Arial" w:hAnsi="Arial" w:cs="Arial"/>
          <w:b/>
          <w:bCs/>
          <w:sz w:val="20"/>
          <w:szCs w:val="20"/>
        </w:rPr>
        <w:t>pluralidad de fabricantes</w:t>
      </w:r>
      <w:r>
        <w:rPr>
          <w:rFonts w:ascii="Arial" w:eastAsia="Arial" w:hAnsi="Arial" w:cs="Arial"/>
          <w:sz w:val="20"/>
          <w:szCs w:val="20"/>
        </w:rPr>
        <w:t xml:space="preserve"> y </w:t>
      </w:r>
      <w:r>
        <w:rPr>
          <w:rFonts w:ascii="Arial" w:eastAsia="Arial" w:hAnsi="Arial" w:cs="Arial"/>
          <w:b/>
          <w:bCs/>
          <w:sz w:val="20"/>
          <w:szCs w:val="20"/>
        </w:rPr>
        <w:t>pluralidad de oferentes</w:t>
      </w:r>
      <w:r>
        <w:rPr>
          <w:rFonts w:ascii="Arial" w:eastAsia="Arial" w:hAnsi="Arial" w:cs="Arial"/>
          <w:sz w:val="20"/>
          <w:szCs w:val="20"/>
        </w:rPr>
        <w:t>. La circunstancia de que una determinada arquitectura tecnológica sea producida por un fabricante específico no implica automáticamente la inexistencia de competencia, siempre que existan distintos canales autorizados o proveedores con capacidad para ofrecer el producto en condiciones competitivas como lo es en este proceso.</w:t>
      </w:r>
    </w:p>
    <w:p w14:paraId="15BB9F29" w14:textId="77777777" w:rsidR="00BE6367" w:rsidRDefault="00C90F6A">
      <w:pPr>
        <w:pStyle w:val="Heading3"/>
        <w:keepNext w:val="0"/>
        <w:keepLines w:val="0"/>
        <w:spacing w:before="280"/>
        <w:jc w:val="both"/>
        <w:rPr>
          <w:rFonts w:ascii="Arial" w:eastAsia="Arial" w:hAnsi="Arial" w:cs="Arial"/>
          <w:b/>
          <w:bCs/>
          <w:color w:val="000000"/>
          <w:sz w:val="20"/>
          <w:szCs w:val="20"/>
        </w:rPr>
      </w:pPr>
      <w:bookmarkStart w:id="3" w:name="_heading=h.iesmpqiqhp3p" w:colFirst="0" w:colLast="0"/>
      <w:bookmarkEnd w:id="3"/>
      <w:r>
        <w:rPr>
          <w:rFonts w:ascii="Arial" w:eastAsia="Arial" w:hAnsi="Arial" w:cs="Arial"/>
          <w:b/>
          <w:bCs/>
          <w:color w:val="000000"/>
          <w:sz w:val="20"/>
          <w:szCs w:val="20"/>
        </w:rPr>
        <w:t>2. Análisis técnico de las especificaciones</w:t>
      </w:r>
    </w:p>
    <w:p w14:paraId="59D5B5B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se comparte la afirmación según la cual las fichas técnicas corresponden a una simple transcripción de hojas de datos comerciales.</w:t>
      </w:r>
    </w:p>
    <w:p w14:paraId="76AA2FA8"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Las características relacionadas con número de núcleos, frecuencia, memoria caché, capacidad de procesamiento, rendimiento gráfico, interfaces, puertos, almacenamiento, resolución, eficiencia energética y demás atributos técnicos constituyen parámetros normalmente utilizados por la industria para determinar el nivel de desempeño de un equipo. La coincidencia de algunos de estos valores con productos disponibles comercialmente no permite concluir, por sí sola, que exista direccionamiento o singularización indebida.</w:t>
      </w:r>
    </w:p>
    <w:p w14:paraId="79F346F9"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referencia a expresiones técnicas utilizadas por determinados fabricantes tampoco transforma automáticamente la especificación en una exigencia de marca. Durante la evaluación deberá verificarse la equivalencia técnica y funcional de las soluciones ofrecidas, siempre que estas cumplan o superen las capacidades mínimas exigidas y acrediten su desempeño mediante documentación oficial del fabricante.</w:t>
      </w:r>
    </w:p>
    <w:p w14:paraId="04F6C3E9"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De acuerdo con el análisis técnico y del sector realizado, los requerimientos generales asociados a equipos de cómputo, monitores, periféricos, componentes audiovisuales y demás elementos de arquitectura abierta pueden ser atendidos por múltiples marcas, fabricantes, distribuidores e integradores presentes en el mercado nacional e internacional. La participación no se encuentra condicionada a una única referencia, puesto que los proponentes pueden ofertar configuraciones iguales o superiores, siempre que satisfagan integralmente la ficha correspondiente.</w:t>
      </w:r>
    </w:p>
    <w:p w14:paraId="09C66218"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 xml:space="preserve">Para aquellos componentes cuya arquitectura o ecosistema tecnológico responde a condiciones particulares de interoperabilidad, continuidad operativa, compatibilidad de aplicaciones, gestión de dispositivos, seguridad o aprovechamiento de inversiones existentes, </w:t>
      </w:r>
      <w:r>
        <w:rPr>
          <w:rFonts w:ascii="Arial" w:eastAsia="Arial" w:hAnsi="Arial" w:cs="Arial"/>
          <w:sz w:val="20"/>
          <w:szCs w:val="20"/>
        </w:rPr>
        <w:lastRenderedPageBreak/>
        <w:t>la determinación técnica no obedece a una preferencia arbitraria. Se encuentra asociada a la necesidad de evitar incompatibilidades, reprocesos, costos adicionales de migración, pérdida de funcionalidades y fragmentación de la infraestructura institucional.</w:t>
      </w:r>
    </w:p>
    <w:p w14:paraId="1AADD8C9"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selección de una arquitectura tecnológica compatible con el entorno existente no constituye por sí misma una vulneración de la libre concurrencia, siempre que la necesidad se encuentre técnicamente sustentada y la competencia pueda presentarse entre los diferentes proveedores autorizados para comercializar, implementar y soportar la solución.</w:t>
      </w:r>
    </w:p>
    <w:p w14:paraId="1A6254FD" w14:textId="77777777" w:rsidR="00BE6367" w:rsidRDefault="00C90F6A">
      <w:pPr>
        <w:pStyle w:val="Heading3"/>
        <w:keepNext w:val="0"/>
        <w:keepLines w:val="0"/>
        <w:spacing w:before="280"/>
        <w:jc w:val="both"/>
        <w:rPr>
          <w:rFonts w:ascii="Arial" w:eastAsia="Arial" w:hAnsi="Arial" w:cs="Arial"/>
          <w:b/>
          <w:bCs/>
          <w:color w:val="000000"/>
          <w:sz w:val="20"/>
          <w:szCs w:val="20"/>
        </w:rPr>
      </w:pPr>
      <w:bookmarkStart w:id="4" w:name="_heading=h.urs3oulo86px" w:colFirst="0" w:colLast="0"/>
      <w:bookmarkEnd w:id="4"/>
      <w:r>
        <w:rPr>
          <w:rFonts w:ascii="Arial" w:eastAsia="Arial" w:hAnsi="Arial" w:cs="Arial"/>
          <w:b/>
          <w:bCs/>
          <w:color w:val="000000"/>
          <w:sz w:val="20"/>
          <w:szCs w:val="20"/>
        </w:rPr>
        <w:t>3. Renovación y estandarización del parque computacional</w:t>
      </w:r>
    </w:p>
    <w:p w14:paraId="496329B4"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adquisición forma parte de la estrategia institucional de renovación y modernización del parque tecnológico. Por esta razón, las especificaciones no pueden analizarse de manera aislada ni limitarse a la identificación de equipos de consumo masivo disponibles en vitrinas comerciales.</w:t>
      </w:r>
    </w:p>
    <w:p w14:paraId="7C43B647"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Entidad requiere equipos de categoría corporativa que garanticen niveles adecuados de rendimiento, seguridad, administración, compatibilidad, garantía, durabilidad y continuidad. En el segmento empresarial, los fabricantes y canales autorizados ofrecen alternativas configurables y esquemas de suministro bajo demanda que permiten adaptar los componentes a los perfiles funcionales definidos por cada organización.</w:t>
      </w:r>
    </w:p>
    <w:p w14:paraId="4CB4C478"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estandarización tecnológica busca que los nuevos equipos mantengan niveles de capacidad iguales o superiores a los existentes y puedan integrarse con los sistemas operativos, herramientas de productividad, plataformas de administración, controles de seguridad, servicios de soporte y demás componentes institucionales. Esta condición facilita la gestión de inventarios, el despliegue de actualizaciones, la administración de configuraciones, la atención de incidentes y la continuidad del servicio.</w:t>
      </w:r>
    </w:p>
    <w:p w14:paraId="4DE2010A"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El PETI de la Procuraduría identifica expresamente la obsolescencia y la cobertura insuficiente de equipos de cómputo y periféricos como una brecha institucional, y establece la necesidad de renovar y ampliar estos recursos para mejorar la productividad, reducir fallas y soportar la operación del nivel central y territorial. Asimismo, incluye como aspecto estratégico la renovación y cobertura de equipos de cómputo y la modernización de la infraestructura física y tecnológica.</w:t>
      </w:r>
    </w:p>
    <w:p w14:paraId="724EC77A"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Por consiguiente, las capacidades exigidas no se orientan a reproducir sin justificación un producto comercial, sino a asegurar que la renovación tecnológica responda a las necesidades actuales y previsibles de la Entidad, evitando la adquisición de equipos con niveles inferiores, tecnologías próximas a obsolescencia o configuraciones que generen limitaciones durante su vida útil.</w:t>
      </w:r>
    </w:p>
    <w:p w14:paraId="53479445" w14:textId="77777777" w:rsidR="00BE6367" w:rsidRDefault="00C90F6A">
      <w:pPr>
        <w:pStyle w:val="Heading3"/>
        <w:keepNext w:val="0"/>
        <w:keepLines w:val="0"/>
        <w:spacing w:before="280"/>
        <w:jc w:val="both"/>
        <w:rPr>
          <w:rFonts w:ascii="Arial" w:eastAsia="Arial" w:hAnsi="Arial" w:cs="Arial"/>
          <w:b/>
          <w:bCs/>
          <w:color w:val="000000"/>
          <w:sz w:val="20"/>
          <w:szCs w:val="20"/>
        </w:rPr>
      </w:pPr>
      <w:bookmarkStart w:id="5" w:name="_heading=h.1p4rnntc1y5y" w:colFirst="0" w:colLast="0"/>
      <w:bookmarkEnd w:id="5"/>
      <w:r>
        <w:rPr>
          <w:rFonts w:ascii="Arial" w:eastAsia="Arial" w:hAnsi="Arial" w:cs="Arial"/>
          <w:b/>
          <w:bCs/>
          <w:color w:val="000000"/>
          <w:sz w:val="20"/>
          <w:szCs w:val="20"/>
        </w:rPr>
        <w:t>4. Alineación con la Política de Gobierno Digital y la arquitectura institucional</w:t>
      </w:r>
    </w:p>
    <w:p w14:paraId="7C100C21"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estructuración técnica también se encuentra alineada con la Política de Gobierno Digital, cuyo propósito es promover la generación de valor público mediante la transformación digital del Estado de forma proactiva, confiable, articulada y colaborativa. Esta política se fundamenta, entre otros, en los principios de armonización, articulación, confianza y competitividad.</w:t>
      </w:r>
    </w:p>
    <w:p w14:paraId="0EAE51D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De igual forma, la Resolución 1978 de 2023 adoptó la versión 3 del Marco de Referencia de Arquitectura Empresarial para el Estado Colombiano, como instrumento para orientar la gestión, el gobierno de las tecnologías de la información y el desarrollo de proyectos con componentes tecnológicos en las entidades públicas.</w:t>
      </w:r>
    </w:p>
    <w:p w14:paraId="50875923"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lastRenderedPageBreak/>
        <w:t>En concordancia con estos lineamientos, la adquisición busca fortalecer la infraestructura institucional, homogeneizar capacidades, reducir riesgos de obsolescencia, asegurar la interoperabilidad, mejorar la administración de los activos tecnológicos y proporcionar herramientas adecuadas para el cumplimiento de las funciones misionales y de apoyo.</w:t>
      </w:r>
    </w:p>
    <w:p w14:paraId="737362FC"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El PETI 2025–2028 de la Procuraduría contempla la consolidación de bases tecnológicas sólidas, escalables e interoperables y establece una hoja de ruta orientada a la modernización de la infraestructura, la renovación de equipos de cómputo y el fortalecimiento de las capacidades institucionales.</w:t>
      </w:r>
    </w:p>
    <w:p w14:paraId="2CA9647F" w14:textId="77777777" w:rsidR="00BE6367" w:rsidRDefault="00C90F6A">
      <w:pPr>
        <w:pStyle w:val="Heading3"/>
        <w:keepNext w:val="0"/>
        <w:keepLines w:val="0"/>
        <w:spacing w:before="280"/>
        <w:jc w:val="both"/>
        <w:rPr>
          <w:rFonts w:ascii="Arial" w:eastAsia="Arial" w:hAnsi="Arial" w:cs="Arial"/>
          <w:b/>
          <w:bCs/>
          <w:color w:val="000000"/>
          <w:sz w:val="20"/>
          <w:szCs w:val="20"/>
        </w:rPr>
      </w:pPr>
      <w:bookmarkStart w:id="6" w:name="_heading=h.5wye7mmqbu69" w:colFirst="0" w:colLast="0"/>
      <w:bookmarkEnd w:id="6"/>
      <w:r>
        <w:rPr>
          <w:rFonts w:ascii="Arial" w:eastAsia="Arial" w:hAnsi="Arial" w:cs="Arial"/>
          <w:b/>
          <w:bCs/>
          <w:color w:val="000000"/>
          <w:sz w:val="20"/>
          <w:szCs w:val="20"/>
        </w:rPr>
        <w:t>5. Servicios de instalación, configuración, acondicionamiento y soporte</w:t>
      </w:r>
    </w:p>
    <w:p w14:paraId="798114DB"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Tampoco se acoge la afirmación según la cual las actividades de acondicionamiento, suministro de accesorios, cableado, instalación, configuración, puesta en marcha, automatización, mantenimiento y soporte especializado son incompatibles, por su sola naturaleza, con la modalidad utilizada.</w:t>
      </w:r>
    </w:p>
    <w:p w14:paraId="680A02A7"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Un servicio puede ser de características técnicas uniformes cuando sus condiciones de ejecución se encuentran estandarizadas y pueden definirse mediante unidades de medida, actividades, entregables, niveles de servicio, tiempos de atención, perfiles técnicos, criterios de aceptación y patrones mínimos de desempeño objetivamente verificables.</w:t>
      </w:r>
    </w:p>
    <w:p w14:paraId="6314AC7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el presente proceso, estas actividades no corresponden a servicios de consultoría destinados a producir estudios, diseños conceptuales o soluciones indeterminadas. Se encuentran directamente relacionadas con el suministro, instalación, integración y funcionamiento de los bienes requeridos y han sido delimitadas mediante condiciones técnicas, obligaciones, entregables y reglas de aceptación previamente determinadas.</w:t>
      </w:r>
    </w:p>
    <w:p w14:paraId="2B2A1FD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circunstancia de que algunas actividades deban ejecutarse en instalaciones específicas no elimina automáticamente su estandarización. La instalación de cableado, accesorios, equipos audiovisuales, sistemas de automatización o componentes tecnológicos puede describirse bajo procedimientos, normas técnicas, unidades de medida y resultados verificables, aun cuando su ejecución deba adaptarse a la ubicación física previamente definida.</w:t>
      </w:r>
    </w:p>
    <w:p w14:paraId="0A151CB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Además, la contratación integral responde a la unidad funcional de la solución y permite contar con un único responsable del suministro, instalación, configuración, integración, interoperabilidad, puesta en funcionamiento, garantía y soporte. La separación de estos componentes podría generar duplicidad de actividades, descoordinación en los cronogramas, dificultades para determinar responsabilidades y mayores riesgos frente al funcionamiento integral de las salas y una optimizacion adecuada del recurso para la adecuada satisfacción de la necesidad de la Entidad.</w:t>
      </w:r>
    </w:p>
    <w:p w14:paraId="66FB00CD" w14:textId="77777777" w:rsidR="00BE6367" w:rsidRDefault="00C90F6A">
      <w:pPr>
        <w:pStyle w:val="Heading3"/>
        <w:keepNext w:val="0"/>
        <w:keepLines w:val="0"/>
        <w:spacing w:before="280"/>
        <w:jc w:val="both"/>
        <w:rPr>
          <w:rFonts w:ascii="Arial" w:eastAsia="Arial" w:hAnsi="Arial" w:cs="Arial"/>
          <w:b/>
          <w:bCs/>
          <w:color w:val="000000"/>
          <w:sz w:val="20"/>
          <w:szCs w:val="20"/>
        </w:rPr>
      </w:pPr>
      <w:bookmarkStart w:id="7" w:name="_heading=h.afuw2z9zefaf" w:colFirst="0" w:colLast="0"/>
      <w:bookmarkEnd w:id="7"/>
      <w:r>
        <w:rPr>
          <w:rFonts w:ascii="Arial" w:eastAsia="Arial" w:hAnsi="Arial" w:cs="Arial"/>
          <w:b/>
          <w:bCs/>
          <w:color w:val="000000"/>
          <w:sz w:val="20"/>
          <w:szCs w:val="20"/>
        </w:rPr>
        <w:t>6. Cumplimiento del principio de planeación</w:t>
      </w:r>
    </w:p>
    <w:p w14:paraId="465AA964"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se configura el desconocimiento del principio de planeación alegado por la observante.</w:t>
      </w:r>
    </w:p>
    <w:p w14:paraId="1F2130E8"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El artículo 2.2.1.1.2.1.1 del Decreto 1082 de 2015 establece que los estudios y documentos previos deben soportar el proyecto de pliegos, los pliegos de condiciones y el contrato, e incluir, entre otros aspectos, la necesidad, el objeto y sus especificaciones, la modalidad de selección y su justificación, el valor estimado, los criterios de selección, los riesgos y las garantías.</w:t>
      </w:r>
    </w:p>
    <w:p w14:paraId="575DE402"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Por su parte, el artículo 2.2.1.1.1.6.1 exige que la Entidad conozca el sector desde las perspectivas legal, comercial, financiera, organizacional, técnica y de riesgos, dejando constancia de dicho análisis en los documentos del proceso.</w:t>
      </w:r>
    </w:p>
    <w:p w14:paraId="4801159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lastRenderedPageBreak/>
        <w:t>En cumplimiento de estas disposiciones, los documentos previos contienen la identificación de la necesidad, la descripción del alcance, la caracterización del mercado, la definición de las condiciones técnicas, el análisis de la oferta y la demanda, la estimación presupuestal, los riesgos, la modalidad de selección y la justificación del mecanismo utilizado.</w:t>
      </w:r>
    </w:p>
    <w:p w14:paraId="6CA70FA9"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El deber de planeación no exige que la Entidad adopte la metodología particular propuesta por cada interesado. Su cumplimiento se determina a partir de la existencia de estudios suficientes, serios, coherentes y proporcionales a la naturaleza y complejidad del objeto contractual. La observación no demuestra la ausencia de estos elementos, sino que plantea una metodología adicional, la acreditación de dos fabricantes por ítem, que no constituye una exigencia normativa.</w:t>
      </w:r>
    </w:p>
    <w:p w14:paraId="6010A840" w14:textId="77777777" w:rsidR="00BE6367" w:rsidRDefault="00C90F6A">
      <w:pPr>
        <w:pStyle w:val="Heading3"/>
        <w:keepNext w:val="0"/>
        <w:keepLines w:val="0"/>
        <w:spacing w:before="280"/>
        <w:jc w:val="both"/>
        <w:rPr>
          <w:rFonts w:ascii="Arial" w:eastAsia="Arial" w:hAnsi="Arial" w:cs="Arial"/>
          <w:b/>
          <w:bCs/>
          <w:color w:val="000000"/>
          <w:sz w:val="20"/>
          <w:szCs w:val="20"/>
        </w:rPr>
      </w:pPr>
      <w:bookmarkStart w:id="8" w:name="_heading=h.7c1fhixizih3" w:colFirst="0" w:colLast="0"/>
      <w:bookmarkEnd w:id="8"/>
      <w:r>
        <w:rPr>
          <w:rFonts w:ascii="Arial" w:eastAsia="Arial" w:hAnsi="Arial" w:cs="Arial"/>
          <w:b/>
          <w:bCs/>
          <w:color w:val="000000"/>
          <w:sz w:val="20"/>
          <w:szCs w:val="20"/>
        </w:rPr>
        <w:t>7. Sustento económico del mecanismo</w:t>
      </w:r>
    </w:p>
    <w:p w14:paraId="7A1381C7"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selección del mecanismo de bolsa de productos también cuenta con soporte económico.</w:t>
      </w:r>
    </w:p>
    <w:p w14:paraId="5966AA06"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El artículo 2.2.1.2.1.2.12 del Decreto 1082 de 2015 exige comparar las ventajas de utilizar la bolsa frente a la subasta inversa o a la promoción de un nuevo acuerdo marco, considerando el procedimiento de selección del comisionista, los costos asociados, la comisión, las garantías y la forma en que se satisfacen los principios del sistema de compra pública, de la función administrativa y de la gestión fiscal.</w:t>
      </w:r>
    </w:p>
    <w:p w14:paraId="52959666"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El análisis incorporado en los documentos previos considera los costos directos de la adquisición y los costos asociados a la operación integral, incluyendo suministro, instalación, configuración, garantías, soporte, administración contractual y riesgos de interoperabilidad.</w:t>
      </w:r>
    </w:p>
    <w:p w14:paraId="4FB7A850"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negociación en bolsa permite una formación competitiva del precio entre los comitentes vendedores habilitados, bajo reglas previamente establecidas, con garantías de cumplimiento, mecanismos de compensación y supervisión de la operación. También permite concentrar en una sola negociación bienes y servicios funcionalmente relacionados, reduciendo costos administrativos, tiempos de coordinación y riesgos derivados de la contratación fragmentada.</w:t>
      </w:r>
    </w:p>
    <w:p w14:paraId="53C0D60F"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evaluación económica no puede limitarse al precio unitario de un equipo aislado. Debe considerar el costo total de propiedad, su vida útil, garantía, soporte, compatibilidad, administración, consumo energético, integración con la infraestructura existente y costos asociados a eventuales migraciones o sustituciones.</w:t>
      </w:r>
    </w:p>
    <w:p w14:paraId="27E0E4DA" w14:textId="77777777" w:rsidR="00BE6367" w:rsidRDefault="00C90F6A">
      <w:pPr>
        <w:pStyle w:val="Heading3"/>
        <w:keepNext w:val="0"/>
        <w:keepLines w:val="0"/>
        <w:spacing w:before="280"/>
        <w:jc w:val="both"/>
        <w:rPr>
          <w:rFonts w:ascii="Arial" w:eastAsia="Arial" w:hAnsi="Arial" w:cs="Arial"/>
          <w:b/>
          <w:bCs/>
          <w:color w:val="000000"/>
          <w:sz w:val="20"/>
          <w:szCs w:val="20"/>
        </w:rPr>
      </w:pPr>
      <w:bookmarkStart w:id="9" w:name="_heading=h.qjrhv6tryfc" w:colFirst="0" w:colLast="0"/>
      <w:bookmarkEnd w:id="9"/>
      <w:r>
        <w:rPr>
          <w:rFonts w:ascii="Arial" w:eastAsia="Arial" w:hAnsi="Arial" w:cs="Arial"/>
          <w:b/>
          <w:bCs/>
          <w:color w:val="000000"/>
          <w:sz w:val="20"/>
          <w:szCs w:val="20"/>
        </w:rPr>
        <w:t>8. Estandarización por parte de la bolsa</w:t>
      </w:r>
    </w:p>
    <w:p w14:paraId="79B84C2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El artículo 2.2.1.2.1.2.16 del Decreto 1082 de 2015 asigna a las bolsas de productos la obligación de estandarizar, tipificar, elaborar y actualizar la lista de bienes y servicios de características técnicas uniformes susceptibles de adquisición por las entidades estatales, y determina que únicamente aquellos incorporados en dicha lista pueden ser negociados mediante este mecanismo.</w:t>
      </w:r>
    </w:p>
    <w:p w14:paraId="2E4E1630"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además del análisis efectuado por la Entidad, el procedimiento incorpora una instancia de estandarización y tipificación propia de la bolsa. La negociación únicamente podrá comprender bienes y servicios que cumplan las condiciones legales y reglamentarias para su inclusión y negociación.</w:t>
      </w:r>
    </w:p>
    <w:p w14:paraId="04B5F4E6"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Esta regla constituye un control adicional sobre la procedencia del mecanismo y desvirtúa la afirmación según la cual la clasificación depende exclusivamente de una decisión unilateral y carente de verificación por parte de la Entidad.</w:t>
      </w:r>
    </w:p>
    <w:p w14:paraId="5380DDA4"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lastRenderedPageBreak/>
        <w:t>Por lo anteriormente expuesto, la observación no demuestra que los bienes y servicios carezcan de patrones objetivos de desempeño y calidad, ni que resulte jurídicamente obligatorio acreditar la existencia de dos fabricantes diferentes para cada ítem.</w:t>
      </w:r>
    </w:p>
    <w:p w14:paraId="11C3BE5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Las condiciones técnicas responden a la renovación y modernización del parque tecnológico, a la necesidad de mantener capacidades iguales o superiores, a la compatibilidad con la infraestructura institucional y a la implementación de la Política de Gobierno Digital, el Marco de Referencia de Arquitectura Empresarial y el PETI de la Entidad.</w:t>
      </w:r>
    </w:p>
    <w:p w14:paraId="1D6AAAD6"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Así mismo, el proceso se encuentra soportado en documentos previos que contienen los análisis técnicos, jurídicos, comerciales, financieros y de riesgos exigidos por el ordenamiento jurídico, por lo que no se configura la vulneración del principio de planeación señalada por la observante.</w:t>
      </w:r>
    </w:p>
    <w:p w14:paraId="20289E4C"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Entidad no accede a incorporar la exigencia de acreditar dos fabricantes por cada ítem, ni a excluir los bienes y servicios señalados, y mantiene la modalidad de selección abreviada mediante bolsa de productos y la estructuración integral del proceso en los términos establecidos en sus documentos.</w:t>
      </w:r>
    </w:p>
    <w:p w14:paraId="514D992F" w14:textId="77777777" w:rsidR="00BE6367" w:rsidRDefault="00C90F6A">
      <w:pPr>
        <w:pStyle w:val="Heading2"/>
        <w:spacing w:before="260" w:after="160"/>
        <w:jc w:val="both"/>
        <w:rPr>
          <w:rFonts w:ascii="Arial" w:eastAsia="Arial" w:hAnsi="Arial" w:cs="Arial"/>
          <w:sz w:val="20"/>
          <w:szCs w:val="20"/>
        </w:rPr>
      </w:pPr>
      <w:r>
        <w:rPr>
          <w:rFonts w:ascii="Arial" w:eastAsia="Arial" w:hAnsi="Arial" w:cs="Arial"/>
          <w:sz w:val="20"/>
          <w:szCs w:val="20"/>
        </w:rPr>
        <w:t>5.2. Observación No. 11 – Selección objetiva, libre concurrencia y neutralidad tecnológica</w:t>
      </w:r>
    </w:p>
    <w:p w14:paraId="28FA762B"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La Constitución Política ordena que la función administrativa se desarrolle con fundamento en los principios de igualdad, moralidad, eficacia, economía, celeridad, imparcialidad y publicidad (artículo 209), garantiza el derecho a la igualdad (artículo 13) y consagra la libre competencia económica como derecho de todos que supone responsabilidades (artículo 333). En desarrollo de esos mandatos, el numeral 5 del artículo 24 de la Ley 80 de 1993 exige que en los pliegos de condiciones, categoría a la que se asimilan la ficha técnica de negociación y sus documentos de condiciones especiales, en cuanto delimitan las reglas de participación, se definan reglas objetivas, justas, claras y completas que aseguren una escogencia objetiva, y prohíbe expresamente incluir condiciones y exigencias de imposible cumplimiento, así como reglas que induzcan a error o que se presten a interpretaciones caprichosas. El artículo 5 de la Ley 1150 de 2007, por su parte, define la selección objetiva como aquella en la cual la escogencia se hace al ofrecimiento más favorable a la entidad y a los fines que ella busca, sin consideración de factores de afecto o de interés y, en general, de cualquier clase de motivación subjetiva.</w:t>
      </w:r>
    </w:p>
    <w:p w14:paraId="2B941E26"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De este bloque normativo la doctrina y la práctica administrativa han decantado el principio de neutralidad tecnológica en las compras públicas de tecnología: las especificaciones deben formularse en términos de desempeño y funcionalidad, qué debe hacer el bien y con qué niveles mínimos verificables y no en términos de un diseño, una arquitectura propietaria o una marca. Es la misma regla que recoge, como estándar internacional de referencia, el artículo 10 de la Ley Modelo de la CNUDMI (UNCITRAL) sobre Contratación Pública: las descripciones no incluirán referencias a marcas comerciales, patentes, diseños, tipos, orígenes o productores determinados, salvo que no exista otro medio suficientemente preciso de describir el objeto y siempre que se incluya la expresión “o equivalente”. Colombia Compra Eficiente ha incorporado esa orientación en sus documentos tipo y guías, al señalar que la referencia a marcas en especificaciones técnicas constituye, por regla general, una barrera injustificada de acceso.</w:t>
      </w:r>
    </w:p>
    <w:p w14:paraId="6C555911"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 xml:space="preserve">En el presente proceso la vulneración de ese estándar no es hipotética sino textual. Las fichas incluyen menciones expresas de marcas y denominaciones comerciales sin fórmula de equivalencia: “Intel Wireless card Wifi 7 integrada” y “EMA” (Intel Endpoint Management Assistant) en el ítem 1; “Smart Cache” en el ítem 2; “Magic Keyboard con Touch ID”, “Magic Mouse”, “Center Stage”, “MagSafe 3”, “Negro Espacial” y “liquidaXDR” en los ítems 3, 4 y 5; y “Cherry MX Low Profile Red” en el teclado del ítem 2. Adicionalmente, exigencias estructurales cumplen el mismo efecto direccionador que una marca: la relación núcleos/hilos sin SMT (14/14 y 24/24) que excluye a AMD; la membresía “Promoter” en el Trusted Computing Group, que </w:t>
      </w:r>
      <w:r>
        <w:rPr>
          <w:rFonts w:ascii="Arial" w:eastAsia="Arial" w:hAnsi="Arial" w:cs="Arial"/>
          <w:sz w:val="20"/>
          <w:szCs w:val="20"/>
        </w:rPr>
        <w:lastRenderedPageBreak/>
        <w:t>excluye a fabricantes que participan en el mismo organismo en otra categoría; la exigencia de que monitor, cámara y periféricos sean “de la misma marca” del equipo; y la exigencia de “ecosistema cerrado y exclusivo de la marca” que, por definición, solo puede cumplir un fabricante.</w:t>
      </w:r>
    </w:p>
    <w:p w14:paraId="2146C309"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Los efectos económicos de esta configuración son directos: (i) en el ítem 1, que concentra cerca del 82% del presupuesto ($42.201 millones), la ausencia de sustituibilidad entre fabricantes elimina la presión competitiva que la puja por precio está llamada a generar, con riesgo de sobreprecio o de descuentos meramente nominales; (ii) el proveedor cuyo producto sirvió de base para la redacción de la ficha cuenta con una ventaja informativa y logística frente a los demás interesados, en detrimento de la igualdad de acceso; (iii) se incrementa el riesgo de que la rueda se celebre con un único comitente vendedor habilitado o se frustre; y (iv) la restricción artificial del universo de oferentes facilita eventuales conductas contrarias a la libre competencia en los términos de la Ley 1340 de 2009, riesgo que la Entidad tiene el deber de mitigar desde la estructuración.</w:t>
      </w:r>
    </w:p>
    <w:p w14:paraId="32B4EC70"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Solicitud: se reitera la petición de reformular las especificaciones de los ítems 1 a 5, 9, 10 y 11 en términos funcionales y de desempeño verificable (benchmarks neutrales, certificaciones de estándares abiertos, capacidades mínimas), eliminando toda mención de marca o denominación comercial o, cuando resulte estrictamente indispensable, acompañándola de la expresión “o equivalente” junto con los criterios objetivos para acreditar la equivalencia. La sección 5.4 de este documento contiene una propuesta concreta de redacción alternativa para los ítems 1 y 2.</w:t>
      </w:r>
    </w:p>
    <w:p w14:paraId="61DF590E" w14:textId="77777777" w:rsidR="00BE6367" w:rsidRDefault="00C90F6A">
      <w:pPr>
        <w:pStyle w:val="Heading2"/>
        <w:spacing w:before="260" w:after="160"/>
        <w:jc w:val="both"/>
        <w:rPr>
          <w:rFonts w:ascii="Arial" w:eastAsia="Arial" w:hAnsi="Arial" w:cs="Arial"/>
          <w:color w:val="000000"/>
          <w:sz w:val="20"/>
          <w:szCs w:val="20"/>
        </w:rPr>
      </w:pPr>
      <w:r>
        <w:rPr>
          <w:rFonts w:ascii="Arial" w:eastAsia="Arial" w:hAnsi="Arial" w:cs="Arial"/>
          <w:b/>
          <w:bCs/>
          <w:color w:val="000000"/>
          <w:sz w:val="20"/>
          <w:szCs w:val="20"/>
        </w:rPr>
        <w:lastRenderedPageBreak/>
        <w:t>RESPUESTA A OBSERVACIÓN:</w:t>
      </w:r>
      <w:r>
        <w:rPr>
          <w:rFonts w:ascii="Arial" w:eastAsia="Arial" w:hAnsi="Arial" w:cs="Arial"/>
          <w:color w:val="000000"/>
          <w:sz w:val="20"/>
          <w:szCs w:val="20"/>
        </w:rPr>
        <w:t xml:space="preserve"> </w:t>
      </w:r>
    </w:p>
    <w:p w14:paraId="50685C28" w14:textId="77777777" w:rsidR="00BE6367" w:rsidRDefault="00C90F6A">
      <w:pPr>
        <w:pStyle w:val="Heading2"/>
        <w:spacing w:before="260" w:after="160"/>
        <w:jc w:val="both"/>
        <w:rPr>
          <w:rFonts w:ascii="Arial" w:eastAsia="Arial" w:hAnsi="Arial" w:cs="Arial"/>
          <w:color w:val="000000"/>
          <w:sz w:val="20"/>
          <w:szCs w:val="20"/>
        </w:rPr>
      </w:pPr>
      <w:bookmarkStart w:id="10" w:name="_heading=h.ts37yhdzlygw" w:colFirst="0" w:colLast="0"/>
      <w:bookmarkEnd w:id="10"/>
      <w:r>
        <w:rPr>
          <w:rFonts w:ascii="Arial" w:eastAsia="Arial" w:hAnsi="Arial" w:cs="Arial"/>
          <w:color w:val="000000"/>
          <w:sz w:val="20"/>
          <w:szCs w:val="20"/>
        </w:rPr>
        <w:t>No se acepta la observación.</w:t>
      </w:r>
    </w:p>
    <w:p w14:paraId="4EA43DDA" w14:textId="77777777" w:rsidR="00BE6367" w:rsidRDefault="00C90F6A">
      <w:pPr>
        <w:pStyle w:val="Heading2"/>
        <w:spacing w:before="240" w:after="240"/>
        <w:jc w:val="both"/>
        <w:rPr>
          <w:rFonts w:ascii="Arial" w:eastAsia="Arial" w:hAnsi="Arial" w:cs="Arial"/>
          <w:color w:val="000000"/>
          <w:sz w:val="20"/>
          <w:szCs w:val="20"/>
        </w:rPr>
      </w:pPr>
      <w:r>
        <w:rPr>
          <w:rFonts w:ascii="Arial" w:eastAsia="Arial" w:hAnsi="Arial" w:cs="Arial"/>
          <w:color w:val="000000"/>
          <w:sz w:val="20"/>
          <w:szCs w:val="20"/>
        </w:rPr>
        <w:t>La Procuraduría General de la Nación realizó, durante la etapa de planeación, el análisis técnico, económico y jurídico de los bienes y servicios que integran la negociación, concluyendo que estos pueden ser adquiridos mediante el procedimiento de selección abreviada a través del Mercado de Compras Públicas de la Bolsa Mercantil de Colombia.</w:t>
      </w:r>
    </w:p>
    <w:p w14:paraId="0DE5AD70" w14:textId="77777777" w:rsidR="00BE6367" w:rsidRDefault="00C90F6A">
      <w:pPr>
        <w:pStyle w:val="Heading2"/>
        <w:spacing w:before="240" w:after="240"/>
        <w:jc w:val="both"/>
        <w:rPr>
          <w:rFonts w:ascii="Arial" w:eastAsia="Arial" w:hAnsi="Arial" w:cs="Arial"/>
          <w:color w:val="000000"/>
          <w:sz w:val="20"/>
          <w:szCs w:val="20"/>
        </w:rPr>
      </w:pPr>
      <w:r>
        <w:rPr>
          <w:rFonts w:ascii="Arial" w:eastAsia="Arial" w:hAnsi="Arial" w:cs="Arial"/>
          <w:color w:val="000000"/>
          <w:sz w:val="20"/>
          <w:szCs w:val="20"/>
        </w:rPr>
        <w:t>El literal a) del numeral 2 del artículo 2 de la Ley 1150 de 2007 contempla expresamente la adquisición o suministro de bienes y servicios de características técnicas uniformes y de común utilización mediante subasta inversa, acuerdos marco de precios o bolsas de productos. Por su parte, la normativa reglamentaria define esta categoría como los bienes y servicios de común utilización que cuentan con especificaciones técnicas y patrones de desempeño y calidad iguales o similares, de manera que puedan agruparse homogéneamente para su adquisición.</w:t>
      </w:r>
    </w:p>
    <w:p w14:paraId="3F3B61FA" w14:textId="77777777" w:rsidR="00BE6367" w:rsidRDefault="00C90F6A">
      <w:pPr>
        <w:pStyle w:val="Heading2"/>
        <w:spacing w:before="240" w:after="240"/>
        <w:jc w:val="both"/>
        <w:rPr>
          <w:rFonts w:ascii="Arial" w:eastAsia="Arial" w:hAnsi="Arial" w:cs="Arial"/>
          <w:color w:val="000000"/>
          <w:sz w:val="20"/>
          <w:szCs w:val="20"/>
        </w:rPr>
      </w:pPr>
      <w:r>
        <w:rPr>
          <w:rFonts w:ascii="Arial" w:eastAsia="Arial" w:hAnsi="Arial" w:cs="Arial"/>
          <w:color w:val="000000"/>
          <w:sz w:val="20"/>
          <w:szCs w:val="20"/>
        </w:rPr>
        <w:t>En este sentido, la condición de uniformidad no implica que todos los productos deban ser idénticos ni que necesariamente deban ser ofrecidos por diferentes fabricantes. Lo relevante es que sus características mínimas, patrones de desempeño, calidad, funcionalidad y condiciones de cumplimiento puedan ser definidos anticipadamente de manera objetiva, verificable y comparable.</w:t>
      </w:r>
    </w:p>
    <w:p w14:paraId="642A87D0" w14:textId="77777777" w:rsidR="00BE6367" w:rsidRDefault="00C90F6A">
      <w:pPr>
        <w:pStyle w:val="Heading2"/>
        <w:spacing w:before="240" w:after="240"/>
        <w:jc w:val="both"/>
        <w:rPr>
          <w:rFonts w:ascii="Arial" w:eastAsia="Arial" w:hAnsi="Arial" w:cs="Arial"/>
          <w:color w:val="000000"/>
          <w:sz w:val="20"/>
          <w:szCs w:val="20"/>
        </w:rPr>
      </w:pPr>
      <w:r>
        <w:rPr>
          <w:rFonts w:ascii="Arial" w:eastAsia="Arial" w:hAnsi="Arial" w:cs="Arial"/>
          <w:color w:val="000000"/>
          <w:sz w:val="20"/>
          <w:szCs w:val="20"/>
        </w:rPr>
        <w:t>Tampoco existe una disposición que obligue a la Entidad a demostrar, como condición de procedencia del mecanismo bursátil, que cada ficha técnica puede ser satisfecha por al menos dos fabricantes distintos. La pluralidad debe analizarse respecto de la existencia de potenciales participantes capaces de suministrar los bienes o servicios bajo las condiciones fijadas, sin que resulte jurídicamente procedente incorporar el número de fabricantes propuesto por el observante como un requisito adicional no previsto en la normativa aplicable.</w:t>
      </w:r>
    </w:p>
    <w:p w14:paraId="4EA92827" w14:textId="77777777" w:rsidR="00BE6367" w:rsidRDefault="00C90F6A">
      <w:pPr>
        <w:pStyle w:val="Heading2"/>
        <w:spacing w:before="240" w:after="240"/>
        <w:jc w:val="both"/>
        <w:rPr>
          <w:rFonts w:ascii="Arial" w:eastAsia="Arial" w:hAnsi="Arial" w:cs="Arial"/>
          <w:color w:val="000000"/>
          <w:sz w:val="20"/>
          <w:szCs w:val="20"/>
        </w:rPr>
      </w:pPr>
      <w:r>
        <w:rPr>
          <w:rFonts w:ascii="Arial" w:eastAsia="Arial" w:hAnsi="Arial" w:cs="Arial"/>
          <w:color w:val="000000"/>
          <w:sz w:val="20"/>
          <w:szCs w:val="20"/>
        </w:rPr>
        <w:t>La Entidad verificó que no existe actualmente un Acuerdo Marco de Precios que cubra integralmente la adquisición, implementación y soporte tecnológico requerido. Asimismo, efectuó un análisis comparativo de los mecanismos de selección disponibles y determinó que la negociación mediante la Bolsa Mercantil permite atender integralmente la necesidad bajo condiciones de competencia, transparencia, trazabilidad, formación objetiva de precios, gestión de garantías y acompañamiento especializado.</w:t>
      </w:r>
    </w:p>
    <w:p w14:paraId="4A764818" w14:textId="77777777" w:rsidR="00BE6367" w:rsidRDefault="00C90F6A">
      <w:pPr>
        <w:pStyle w:val="Heading2"/>
        <w:spacing w:before="240" w:after="240"/>
        <w:jc w:val="both"/>
        <w:rPr>
          <w:rFonts w:ascii="Arial" w:eastAsia="Arial" w:hAnsi="Arial" w:cs="Arial"/>
          <w:color w:val="000000"/>
          <w:sz w:val="20"/>
          <w:szCs w:val="20"/>
        </w:rPr>
      </w:pPr>
      <w:r>
        <w:rPr>
          <w:rFonts w:ascii="Arial" w:eastAsia="Arial" w:hAnsi="Arial" w:cs="Arial"/>
          <w:color w:val="000000"/>
          <w:sz w:val="20"/>
          <w:szCs w:val="20"/>
        </w:rPr>
        <w:t>La Ficha Técnica de Negociación establece una puja por precio por conjunto de bienes en una sola operación y relaciona de manera individual cada uno de los cincuenta y siete (57) componentes, sus cantidades y valores unitarios máximos sin IVA. Una vez cerrada la negociación, el porcentaje de descuento obtenido debe aplicarse sobre cada uno de los precios unitarios, sin que el comitente vendedor pueda reportar precios superiores a los determinados por la Entidad.</w:t>
      </w:r>
    </w:p>
    <w:p w14:paraId="36B89816" w14:textId="77777777" w:rsidR="00BE6367" w:rsidRDefault="00C90F6A">
      <w:pPr>
        <w:pStyle w:val="Heading2"/>
        <w:spacing w:before="240" w:after="240"/>
        <w:jc w:val="both"/>
        <w:rPr>
          <w:rFonts w:ascii="Arial" w:eastAsia="Arial" w:hAnsi="Arial" w:cs="Arial"/>
          <w:color w:val="000000"/>
          <w:sz w:val="20"/>
          <w:szCs w:val="20"/>
        </w:rPr>
      </w:pPr>
      <w:r>
        <w:rPr>
          <w:rFonts w:ascii="Arial" w:eastAsia="Arial" w:hAnsi="Arial" w:cs="Arial"/>
          <w:color w:val="000000"/>
          <w:sz w:val="20"/>
          <w:szCs w:val="20"/>
        </w:rPr>
        <w:t>Esta estructura permite comparar las propuestas económicas bajo condiciones homogéneas, dado que todos los participantes deben ofertar el mismo conjunto y cumplir las mismas especificaciones mínimas, cantidades, obligaciones de instalación, condiciones de garantía, soporte y puesta en funcionamiento.</w:t>
      </w:r>
    </w:p>
    <w:p w14:paraId="62AF55E3" w14:textId="77777777" w:rsidR="00BE6367" w:rsidRDefault="00C90F6A">
      <w:pPr>
        <w:pStyle w:val="Heading4"/>
        <w:spacing w:before="240"/>
        <w:jc w:val="both"/>
        <w:rPr>
          <w:rFonts w:ascii="Arial" w:eastAsia="Arial" w:hAnsi="Arial" w:cs="Arial"/>
          <w:i/>
          <w:iCs/>
          <w:color w:val="000000"/>
          <w:sz w:val="20"/>
          <w:szCs w:val="20"/>
        </w:rPr>
      </w:pPr>
      <w:bookmarkStart w:id="11" w:name="_heading=h.f101wz92d7iy" w:colFirst="0" w:colLast="0"/>
      <w:bookmarkEnd w:id="11"/>
      <w:r>
        <w:rPr>
          <w:rFonts w:ascii="Arial" w:eastAsia="Arial" w:hAnsi="Arial" w:cs="Arial"/>
          <w:color w:val="000000"/>
          <w:sz w:val="20"/>
          <w:szCs w:val="20"/>
        </w:rPr>
        <w:t>Sobre los equipos de cómputo y dispositivos tecnológicos</w:t>
      </w:r>
    </w:p>
    <w:p w14:paraId="7B7ED3C2" w14:textId="77777777" w:rsidR="00BE6367" w:rsidRDefault="00C90F6A">
      <w:pPr>
        <w:pStyle w:val="Heading2"/>
        <w:spacing w:before="240" w:after="240"/>
        <w:jc w:val="both"/>
        <w:rPr>
          <w:rFonts w:ascii="Arial" w:eastAsia="Arial" w:hAnsi="Arial" w:cs="Arial"/>
          <w:color w:val="000000"/>
          <w:sz w:val="20"/>
          <w:szCs w:val="20"/>
        </w:rPr>
      </w:pPr>
      <w:r>
        <w:rPr>
          <w:rFonts w:ascii="Arial" w:eastAsia="Arial" w:hAnsi="Arial" w:cs="Arial"/>
          <w:color w:val="000000"/>
          <w:sz w:val="20"/>
          <w:szCs w:val="20"/>
        </w:rPr>
        <w:t>No se acepta la afirmación según la cual la sola coincidencia entre determinadas características técnicas y productos disponibles en el mercado elimina automáticamente la condición de uniformidad.</w:t>
      </w:r>
    </w:p>
    <w:p w14:paraId="4B8EA1B4" w14:textId="77777777" w:rsidR="00BE6367" w:rsidRDefault="00C90F6A">
      <w:pPr>
        <w:pStyle w:val="Heading2"/>
        <w:spacing w:before="240" w:after="240"/>
        <w:jc w:val="both"/>
        <w:rPr>
          <w:rFonts w:ascii="Arial" w:eastAsia="Arial" w:hAnsi="Arial" w:cs="Arial"/>
          <w:color w:val="000000"/>
          <w:sz w:val="20"/>
          <w:szCs w:val="20"/>
        </w:rPr>
      </w:pPr>
      <w:r>
        <w:rPr>
          <w:rFonts w:ascii="Arial" w:eastAsia="Arial" w:hAnsi="Arial" w:cs="Arial"/>
          <w:color w:val="000000"/>
          <w:sz w:val="20"/>
          <w:szCs w:val="20"/>
        </w:rPr>
        <w:lastRenderedPageBreak/>
        <w:t>Las especificaciones previstas en la Ficha Técnica de Producto establecen capacidades mínimas de procesamiento, memoria, almacenamiento, conectividad, resolución, seguridad, rendimiento, compatibilidad, eficiencia energética, garantía y soporte, con el fin de que los bienes satisfagan las necesidades funcionales y operativas de la Entidad.</w:t>
      </w:r>
    </w:p>
    <w:p w14:paraId="39DE4358" w14:textId="77777777" w:rsidR="00BE6367" w:rsidRDefault="00C90F6A">
      <w:pPr>
        <w:pStyle w:val="Heading2"/>
        <w:spacing w:before="240" w:after="240"/>
        <w:jc w:val="both"/>
        <w:rPr>
          <w:rFonts w:ascii="Arial" w:eastAsia="Arial" w:hAnsi="Arial" w:cs="Arial"/>
          <w:color w:val="000000"/>
          <w:sz w:val="20"/>
          <w:szCs w:val="20"/>
        </w:rPr>
      </w:pPr>
      <w:r>
        <w:rPr>
          <w:rFonts w:ascii="Arial" w:eastAsia="Arial" w:hAnsi="Arial" w:cs="Arial"/>
          <w:color w:val="000000"/>
          <w:sz w:val="20"/>
          <w:szCs w:val="20"/>
        </w:rPr>
        <w:t>La identificación precisa de capacidades técnicas no convierte, por sí sola, un producto en un bien no uniforme. Por el contrario, la existencia de parámetros verificables permite establecer condiciones objetivas y comparables para comprobar el cumplimiento de las ofertas.</w:t>
      </w:r>
    </w:p>
    <w:p w14:paraId="1ECA4F5A" w14:textId="77777777" w:rsidR="00BE6367" w:rsidRDefault="00C90F6A">
      <w:pPr>
        <w:pStyle w:val="Heading2"/>
        <w:spacing w:before="240" w:after="240"/>
        <w:jc w:val="both"/>
        <w:rPr>
          <w:rFonts w:ascii="Arial" w:eastAsia="Arial" w:hAnsi="Arial" w:cs="Arial"/>
          <w:color w:val="000000"/>
          <w:sz w:val="20"/>
          <w:szCs w:val="20"/>
        </w:rPr>
      </w:pPr>
      <w:r>
        <w:rPr>
          <w:rFonts w:ascii="Arial" w:eastAsia="Arial" w:hAnsi="Arial" w:cs="Arial"/>
          <w:color w:val="000000"/>
          <w:sz w:val="20"/>
          <w:szCs w:val="20"/>
        </w:rPr>
        <w:t>En relación con los ítems 3, 4 y 5, las condiciones de arquitectura, sistema operativo y ecosistema tecnológico obedecen a las necesidades de compatibilidad, continuidad operativa, interoperabilidad y utilización institucional definidas por la Procuraduría. La uniformidad no exige que un bien pueda operar en cualquier ecosistema disponible, sino que sus condiciones técnicas y funcionales puedan ser determinadas objetivamente antes de la negociación y verificadas de igual manera para todos los participantes.</w:t>
      </w:r>
    </w:p>
    <w:p w14:paraId="5252F501" w14:textId="77777777" w:rsidR="00BE6367" w:rsidRDefault="00C90F6A">
      <w:pPr>
        <w:pStyle w:val="Heading2"/>
        <w:spacing w:before="240" w:after="240"/>
        <w:jc w:val="both"/>
        <w:rPr>
          <w:rFonts w:ascii="Arial" w:eastAsia="Arial" w:hAnsi="Arial" w:cs="Arial"/>
          <w:color w:val="000000"/>
          <w:sz w:val="20"/>
          <w:szCs w:val="20"/>
        </w:rPr>
      </w:pPr>
      <w:r>
        <w:rPr>
          <w:rFonts w:ascii="Arial" w:eastAsia="Arial" w:hAnsi="Arial" w:cs="Arial"/>
          <w:color w:val="000000"/>
          <w:sz w:val="20"/>
          <w:szCs w:val="20"/>
        </w:rPr>
        <w:t>Asimismo, la competencia no se presenta exclusivamente entre fabricantes. En el Mercado de Compras Públicas participan comitentes vendedores, distribuidores, canales e integradores que pueden comercializar y suministrar los bienes requeridos, de modo que la identificación de un determinado ecosistema tecnológico no conduce automáticamente a la existencia de un único potencial vendedor.</w:t>
      </w:r>
    </w:p>
    <w:p w14:paraId="538E01E0" w14:textId="77777777" w:rsidR="00BE6367" w:rsidRDefault="00C90F6A">
      <w:pPr>
        <w:pStyle w:val="Heading4"/>
        <w:spacing w:before="240"/>
        <w:jc w:val="both"/>
        <w:rPr>
          <w:rFonts w:ascii="Arial" w:eastAsia="Arial" w:hAnsi="Arial" w:cs="Arial"/>
          <w:i/>
          <w:iCs/>
          <w:color w:val="000000"/>
          <w:sz w:val="20"/>
          <w:szCs w:val="20"/>
        </w:rPr>
      </w:pPr>
      <w:bookmarkStart w:id="12" w:name="_heading=h.f3mvhroq7rmv" w:colFirst="0" w:colLast="0"/>
      <w:bookmarkEnd w:id="12"/>
      <w:r>
        <w:rPr>
          <w:rFonts w:ascii="Arial" w:eastAsia="Arial" w:hAnsi="Arial" w:cs="Arial"/>
          <w:color w:val="000000"/>
          <w:sz w:val="20"/>
          <w:szCs w:val="20"/>
        </w:rPr>
        <w:t>Sobre los servicios de instalación, acondicionamiento y soporte</w:t>
      </w:r>
    </w:p>
    <w:p w14:paraId="09EAD867" w14:textId="77777777" w:rsidR="00BE6367" w:rsidRDefault="00C90F6A">
      <w:pPr>
        <w:pStyle w:val="Heading2"/>
        <w:spacing w:before="240" w:after="240"/>
        <w:jc w:val="both"/>
        <w:rPr>
          <w:rFonts w:ascii="Arial" w:eastAsia="Arial" w:hAnsi="Arial" w:cs="Arial"/>
          <w:color w:val="000000"/>
          <w:sz w:val="20"/>
          <w:szCs w:val="20"/>
        </w:rPr>
      </w:pPr>
      <w:r>
        <w:rPr>
          <w:rFonts w:ascii="Arial" w:eastAsia="Arial" w:hAnsi="Arial" w:cs="Arial"/>
          <w:color w:val="000000"/>
          <w:sz w:val="20"/>
          <w:szCs w:val="20"/>
        </w:rPr>
        <w:t>La normativa aplicable no limita el mecanismo bursátil exclusivamente a bienes físicos. La Ley 1150 de 2007 y el Decreto 1082 de 2015 hacen referencia a bienes y servicios de características técnicas uniformes y de común utilización, siempre que sus especificaciones, alcance y patrones de desempeño puedan determinarse objetivamente.</w:t>
      </w:r>
    </w:p>
    <w:p w14:paraId="117C9BB9" w14:textId="77777777" w:rsidR="00BE6367" w:rsidRDefault="00C90F6A">
      <w:pPr>
        <w:pStyle w:val="Heading2"/>
        <w:spacing w:before="240" w:after="240"/>
        <w:jc w:val="both"/>
        <w:rPr>
          <w:rFonts w:ascii="Arial" w:eastAsia="Arial" w:hAnsi="Arial" w:cs="Arial"/>
          <w:color w:val="000000"/>
          <w:sz w:val="20"/>
          <w:szCs w:val="20"/>
        </w:rPr>
      </w:pPr>
      <w:r>
        <w:rPr>
          <w:rFonts w:ascii="Arial" w:eastAsia="Arial" w:hAnsi="Arial" w:cs="Arial"/>
          <w:color w:val="000000"/>
          <w:sz w:val="20"/>
          <w:szCs w:val="20"/>
        </w:rPr>
        <w:t>Los ítems 51 a 57 no corresponden a consultorías, diseños arquitectónicos indeterminados ni servicios intelectuales abiertos. Se encuentran vinculados directamente con el suministro, instalación, configuración, integración, puesta en funcionamiento, mantenimiento y soporte de las soluciones tecnológicas que integran el conjunto.</w:t>
      </w:r>
    </w:p>
    <w:p w14:paraId="746EB370" w14:textId="77777777" w:rsidR="00BE6367" w:rsidRDefault="00C90F6A">
      <w:pPr>
        <w:pStyle w:val="Heading2"/>
        <w:spacing w:before="240" w:after="240"/>
        <w:jc w:val="both"/>
        <w:rPr>
          <w:rFonts w:ascii="Arial" w:eastAsia="Arial" w:hAnsi="Arial" w:cs="Arial"/>
          <w:color w:val="000000"/>
          <w:sz w:val="20"/>
          <w:szCs w:val="20"/>
        </w:rPr>
      </w:pPr>
      <w:r>
        <w:rPr>
          <w:rFonts w:ascii="Arial" w:eastAsia="Arial" w:hAnsi="Arial" w:cs="Arial"/>
          <w:color w:val="000000"/>
          <w:sz w:val="20"/>
          <w:szCs w:val="20"/>
        </w:rPr>
        <w:t>La Ficha Técnica de Producto correspondiente al acondicionamiento acústico establece condiciones verificables, como el suministro e instalación de paneles absorbentes, un coeficiente mínimo de absorción NRC y requisitos aplicables al tratamiento acústico del espacio. Además, este componente se encuentra asociado a los códigos SIBOL 45053 y 30106.</w:t>
      </w:r>
    </w:p>
    <w:p w14:paraId="55E6C879" w14:textId="77777777" w:rsidR="00BE6367" w:rsidRDefault="00C90F6A">
      <w:pPr>
        <w:pStyle w:val="Heading2"/>
        <w:spacing w:before="240" w:after="240"/>
        <w:jc w:val="both"/>
        <w:rPr>
          <w:rFonts w:ascii="Arial" w:eastAsia="Arial" w:hAnsi="Arial" w:cs="Arial"/>
          <w:color w:val="000000"/>
          <w:sz w:val="20"/>
          <w:szCs w:val="20"/>
        </w:rPr>
      </w:pPr>
      <w:r>
        <w:rPr>
          <w:rFonts w:ascii="Arial" w:eastAsia="Arial" w:hAnsi="Arial" w:cs="Arial"/>
          <w:color w:val="000000"/>
          <w:sz w:val="20"/>
          <w:szCs w:val="20"/>
        </w:rPr>
        <w:t>De igual manera, el suministro e instalación de accesorios y cableado se encuentra asociado a los códigos SIBOL 30056 y 30106 y cuenta con una descripción concreta del servicio, que comprende el suministro, instalación y mantenimiento del cableado estructurado y especializado necesario para la implementación.</w:t>
      </w:r>
    </w:p>
    <w:p w14:paraId="11A59C4E" w14:textId="77777777" w:rsidR="00BE6367" w:rsidRDefault="00C90F6A">
      <w:pPr>
        <w:pStyle w:val="Heading2"/>
        <w:spacing w:before="240" w:after="240"/>
        <w:jc w:val="both"/>
        <w:rPr>
          <w:rFonts w:ascii="Arial" w:eastAsia="Arial" w:hAnsi="Arial" w:cs="Arial"/>
          <w:color w:val="000000"/>
          <w:sz w:val="20"/>
          <w:szCs w:val="20"/>
        </w:rPr>
      </w:pPr>
      <w:r>
        <w:rPr>
          <w:rFonts w:ascii="Arial" w:eastAsia="Arial" w:hAnsi="Arial" w:cs="Arial"/>
          <w:color w:val="000000"/>
          <w:sz w:val="20"/>
          <w:szCs w:val="20"/>
        </w:rPr>
        <w:t>Los servicios de instalación, configuración, programación, mantenimiento y soporte también se encuentran individualizados en la FTN, cuentan con cantidades, unidades y valores máximos, y están sujetos a obligaciones y resultados verificables.</w:t>
      </w:r>
    </w:p>
    <w:p w14:paraId="196A27B7" w14:textId="77777777" w:rsidR="00BE6367" w:rsidRDefault="00C90F6A">
      <w:pPr>
        <w:pStyle w:val="Heading2"/>
        <w:spacing w:before="240" w:after="240"/>
        <w:jc w:val="both"/>
        <w:rPr>
          <w:rFonts w:ascii="Arial" w:eastAsia="Arial" w:hAnsi="Arial" w:cs="Arial"/>
          <w:color w:val="000000"/>
          <w:sz w:val="20"/>
          <w:szCs w:val="20"/>
        </w:rPr>
      </w:pPr>
      <w:r>
        <w:rPr>
          <w:rFonts w:ascii="Arial" w:eastAsia="Arial" w:hAnsi="Arial" w:cs="Arial"/>
          <w:color w:val="000000"/>
          <w:sz w:val="20"/>
          <w:szCs w:val="20"/>
        </w:rPr>
        <w:t>Estos componentes son necesarios para asegurar que los equipos adquiridos no sean entregados como bienes aislados, sino como una solución integrada y operativa. Su separación del conjunto generaría riesgos de incompatibilidad, división de responsabilidades, afectaciones a las garantías y dificultades para determinar la responsabilidad por el funcionamiento integral de la solución.</w:t>
      </w:r>
    </w:p>
    <w:p w14:paraId="188266FB" w14:textId="77777777" w:rsidR="00BE6367" w:rsidRDefault="00C90F6A">
      <w:pPr>
        <w:pStyle w:val="Heading4"/>
        <w:spacing w:before="240"/>
        <w:jc w:val="both"/>
        <w:rPr>
          <w:rFonts w:ascii="Arial" w:eastAsia="Arial" w:hAnsi="Arial" w:cs="Arial"/>
          <w:i/>
          <w:iCs/>
          <w:color w:val="000000"/>
          <w:sz w:val="20"/>
          <w:szCs w:val="20"/>
        </w:rPr>
      </w:pPr>
      <w:bookmarkStart w:id="13" w:name="_heading=h.2pw7kuox3y4d" w:colFirst="0" w:colLast="0"/>
      <w:bookmarkEnd w:id="13"/>
      <w:r>
        <w:rPr>
          <w:rFonts w:ascii="Arial" w:eastAsia="Arial" w:hAnsi="Arial" w:cs="Arial"/>
          <w:color w:val="000000"/>
          <w:sz w:val="20"/>
          <w:szCs w:val="20"/>
        </w:rPr>
        <w:lastRenderedPageBreak/>
        <w:t>Sobre el análisis de mercado y la pluralidad</w:t>
      </w:r>
    </w:p>
    <w:p w14:paraId="5DB57A4E" w14:textId="77777777" w:rsidR="00BE6367" w:rsidRDefault="00C90F6A">
      <w:pPr>
        <w:pStyle w:val="Heading2"/>
        <w:spacing w:before="240" w:after="240"/>
        <w:jc w:val="both"/>
        <w:rPr>
          <w:rFonts w:ascii="Arial" w:eastAsia="Arial" w:hAnsi="Arial" w:cs="Arial"/>
          <w:color w:val="000000"/>
          <w:sz w:val="20"/>
          <w:szCs w:val="20"/>
        </w:rPr>
      </w:pPr>
      <w:r>
        <w:rPr>
          <w:rFonts w:ascii="Arial" w:eastAsia="Arial" w:hAnsi="Arial" w:cs="Arial"/>
          <w:color w:val="000000"/>
          <w:sz w:val="20"/>
          <w:szCs w:val="20"/>
        </w:rPr>
        <w:t>El estudio del sector no se limitó a la consulta de un único fabricante o proveedor. La Entidad obtuvo y analizó cotizaciones de tres empresas especializadas: Nueva Era Soluciones, I-COMM y OriginIT, que incluyeron hardware, equipos de cómputo, periféricos, soluciones audiovisuales, software, acondicionamiento acústico, automatización, instalación y soporte.</w:t>
      </w:r>
    </w:p>
    <w:p w14:paraId="1621FB59" w14:textId="77777777" w:rsidR="00BE6367" w:rsidRDefault="00C90F6A">
      <w:pPr>
        <w:pStyle w:val="Heading2"/>
        <w:spacing w:before="240" w:after="240"/>
        <w:jc w:val="both"/>
        <w:rPr>
          <w:rFonts w:ascii="Arial" w:eastAsia="Arial" w:hAnsi="Arial" w:cs="Arial"/>
          <w:color w:val="000000"/>
          <w:sz w:val="20"/>
          <w:szCs w:val="20"/>
        </w:rPr>
      </w:pPr>
      <w:r>
        <w:rPr>
          <w:rFonts w:ascii="Arial" w:eastAsia="Arial" w:hAnsi="Arial" w:cs="Arial"/>
          <w:color w:val="000000"/>
          <w:sz w:val="20"/>
          <w:szCs w:val="20"/>
        </w:rPr>
        <w:t>Las cotizaciones presentaron una estructura consistente, con diferencias atribuibles a las marcas, garantías, niveles de servicio, costos de importación y estrategias comerciales de cada proveedor. El estudio concluyó que los valores reflejan condiciones reales del mercado y que existe capacidad de oferta para atender integralmente la necesidad.</w:t>
      </w:r>
    </w:p>
    <w:p w14:paraId="30B44639" w14:textId="77777777" w:rsidR="00BE6367" w:rsidRDefault="00C90F6A">
      <w:pPr>
        <w:pStyle w:val="Heading2"/>
        <w:spacing w:before="240" w:after="240"/>
        <w:jc w:val="both"/>
        <w:rPr>
          <w:rFonts w:ascii="Arial" w:eastAsia="Arial" w:hAnsi="Arial" w:cs="Arial"/>
          <w:color w:val="000000"/>
          <w:sz w:val="20"/>
          <w:szCs w:val="20"/>
        </w:rPr>
      </w:pPr>
      <w:r>
        <w:rPr>
          <w:rFonts w:ascii="Arial" w:eastAsia="Arial" w:hAnsi="Arial" w:cs="Arial"/>
          <w:color w:val="000000"/>
          <w:sz w:val="20"/>
          <w:szCs w:val="20"/>
        </w:rPr>
        <w:t>Por tanto, no se evidencia que la operación esté limitada a un proveedor único ni que la utilización del mecanismo de bolsa impida la competencia entre potenciales comitentes vendedores.</w:t>
      </w:r>
    </w:p>
    <w:p w14:paraId="0EF6B7BA" w14:textId="77777777" w:rsidR="00BE6367" w:rsidRDefault="00C90F6A">
      <w:pPr>
        <w:pStyle w:val="Heading2"/>
        <w:spacing w:before="240" w:after="240"/>
        <w:jc w:val="both"/>
        <w:rPr>
          <w:rFonts w:ascii="Arial" w:eastAsia="Arial" w:hAnsi="Arial" w:cs="Arial"/>
          <w:color w:val="000000"/>
          <w:sz w:val="20"/>
          <w:szCs w:val="20"/>
        </w:rPr>
      </w:pPr>
      <w:r>
        <w:rPr>
          <w:rFonts w:ascii="Arial" w:eastAsia="Arial" w:hAnsi="Arial" w:cs="Arial"/>
          <w:color w:val="000000"/>
          <w:sz w:val="20"/>
          <w:szCs w:val="20"/>
        </w:rPr>
        <w:t>Finalmente, se aclara que la definición de características técnicas uniformes no impide que la Entidad establezca condiciones técnicas mínimas ajustadas a su necesidad. La uniformidad se predica de la posibilidad de describir previamente los bienes y servicios mediante características objetivas, patrones de desempeño y niveles de calidad comparables; no de la obligación de aceptar productos que, aunque genéricamente similares, no satisfagan las condiciones de funcionamiento, integración, seguridad, administración, garantía y soporte requeridas.</w:t>
      </w:r>
    </w:p>
    <w:p w14:paraId="29F304D5" w14:textId="77777777" w:rsidR="00BE6367" w:rsidRDefault="00C90F6A">
      <w:pPr>
        <w:pStyle w:val="Heading2"/>
        <w:spacing w:before="240" w:after="240"/>
        <w:jc w:val="both"/>
        <w:rPr>
          <w:rFonts w:ascii="Arial" w:eastAsia="Arial" w:hAnsi="Arial" w:cs="Arial"/>
          <w:color w:val="000000"/>
          <w:sz w:val="20"/>
          <w:szCs w:val="20"/>
        </w:rPr>
      </w:pPr>
      <w:r>
        <w:rPr>
          <w:rFonts w:ascii="Arial" w:eastAsia="Arial" w:hAnsi="Arial" w:cs="Arial"/>
          <w:color w:val="000000"/>
          <w:sz w:val="20"/>
          <w:szCs w:val="20"/>
        </w:rPr>
        <w:t>Así las cosas, la Entidad considera que:</w:t>
      </w:r>
    </w:p>
    <w:p w14:paraId="6B0D23F0" w14:textId="77777777" w:rsidR="00BE6367" w:rsidRDefault="00C90F6A">
      <w:pPr>
        <w:pStyle w:val="Heading2"/>
        <w:numPr>
          <w:ilvl w:val="0"/>
          <w:numId w:val="72"/>
        </w:numPr>
        <w:spacing w:before="240"/>
        <w:jc w:val="both"/>
        <w:rPr>
          <w:rFonts w:ascii="Arial" w:eastAsia="Arial" w:hAnsi="Arial" w:cs="Arial"/>
          <w:color w:val="000000"/>
          <w:sz w:val="20"/>
          <w:szCs w:val="20"/>
        </w:rPr>
      </w:pPr>
      <w:r>
        <w:rPr>
          <w:rFonts w:ascii="Arial" w:eastAsia="Arial" w:hAnsi="Arial" w:cs="Arial"/>
          <w:color w:val="000000"/>
          <w:sz w:val="20"/>
          <w:szCs w:val="20"/>
        </w:rPr>
        <w:t>Los bienes y servicios se encuentran identificados y descritos mediante especificaciones técnicas y resultados verificables.</w:t>
      </w:r>
    </w:p>
    <w:p w14:paraId="72288FBE" w14:textId="77777777" w:rsidR="00BE6367" w:rsidRDefault="00C90F6A">
      <w:pPr>
        <w:pStyle w:val="Heading2"/>
        <w:numPr>
          <w:ilvl w:val="0"/>
          <w:numId w:val="72"/>
        </w:numPr>
        <w:spacing w:before="0"/>
        <w:jc w:val="both"/>
        <w:rPr>
          <w:rFonts w:ascii="Arial" w:eastAsia="Arial" w:hAnsi="Arial" w:cs="Arial"/>
          <w:color w:val="000000"/>
          <w:sz w:val="20"/>
          <w:szCs w:val="20"/>
        </w:rPr>
      </w:pPr>
      <w:r>
        <w:rPr>
          <w:rFonts w:ascii="Arial" w:eastAsia="Arial" w:hAnsi="Arial" w:cs="Arial"/>
          <w:color w:val="000000"/>
          <w:sz w:val="20"/>
          <w:szCs w:val="20"/>
        </w:rPr>
        <w:t>Los servicios asociados son necesarios para la implementación y operación integral de los bienes adquiridos.</w:t>
      </w:r>
    </w:p>
    <w:p w14:paraId="191F590C" w14:textId="77777777" w:rsidR="00BE6367" w:rsidRDefault="00C90F6A">
      <w:pPr>
        <w:pStyle w:val="Heading2"/>
        <w:numPr>
          <w:ilvl w:val="0"/>
          <w:numId w:val="72"/>
        </w:numPr>
        <w:spacing w:before="0"/>
        <w:jc w:val="both"/>
        <w:rPr>
          <w:rFonts w:ascii="Arial" w:eastAsia="Arial" w:hAnsi="Arial" w:cs="Arial"/>
          <w:color w:val="000000"/>
          <w:sz w:val="20"/>
          <w:szCs w:val="20"/>
        </w:rPr>
      </w:pPr>
      <w:r>
        <w:rPr>
          <w:rFonts w:ascii="Arial" w:eastAsia="Arial" w:hAnsi="Arial" w:cs="Arial"/>
          <w:color w:val="000000"/>
          <w:sz w:val="20"/>
          <w:szCs w:val="20"/>
        </w:rPr>
        <w:t>Los componentes cuentan con cantidades y valores unitarios determinados.</w:t>
      </w:r>
    </w:p>
    <w:p w14:paraId="62A7DFEC" w14:textId="77777777" w:rsidR="00BE6367" w:rsidRDefault="00C90F6A">
      <w:pPr>
        <w:pStyle w:val="Heading2"/>
        <w:numPr>
          <w:ilvl w:val="0"/>
          <w:numId w:val="72"/>
        </w:numPr>
        <w:spacing w:before="0"/>
        <w:jc w:val="both"/>
        <w:rPr>
          <w:rFonts w:ascii="Arial" w:eastAsia="Arial" w:hAnsi="Arial" w:cs="Arial"/>
          <w:color w:val="000000"/>
          <w:sz w:val="20"/>
          <w:szCs w:val="20"/>
        </w:rPr>
      </w:pPr>
      <w:r>
        <w:rPr>
          <w:rFonts w:ascii="Arial" w:eastAsia="Arial" w:hAnsi="Arial" w:cs="Arial"/>
          <w:color w:val="000000"/>
          <w:sz w:val="20"/>
          <w:szCs w:val="20"/>
        </w:rPr>
        <w:t>El estudio de mercado evidencia la participación de varios proveedores con capacidad para cotizar el conjunto.</w:t>
      </w:r>
    </w:p>
    <w:p w14:paraId="5D465446" w14:textId="77777777" w:rsidR="00BE6367" w:rsidRDefault="00C90F6A">
      <w:pPr>
        <w:pStyle w:val="Heading2"/>
        <w:numPr>
          <w:ilvl w:val="0"/>
          <w:numId w:val="72"/>
        </w:numPr>
        <w:spacing w:before="0"/>
        <w:jc w:val="both"/>
        <w:rPr>
          <w:rFonts w:ascii="Arial" w:eastAsia="Arial" w:hAnsi="Arial" w:cs="Arial"/>
          <w:color w:val="000000"/>
          <w:sz w:val="20"/>
          <w:szCs w:val="20"/>
        </w:rPr>
      </w:pPr>
      <w:r>
        <w:rPr>
          <w:rFonts w:ascii="Arial" w:eastAsia="Arial" w:hAnsi="Arial" w:cs="Arial"/>
          <w:color w:val="000000"/>
          <w:sz w:val="20"/>
          <w:szCs w:val="20"/>
        </w:rPr>
        <w:t>La normativa no exige demostrar la existencia de dos fabricantes diferentes para cada ítem.</w:t>
      </w:r>
    </w:p>
    <w:p w14:paraId="6E1BDEB7" w14:textId="77777777" w:rsidR="00BE6367" w:rsidRDefault="00C90F6A">
      <w:pPr>
        <w:pStyle w:val="Heading2"/>
        <w:numPr>
          <w:ilvl w:val="0"/>
          <w:numId w:val="72"/>
        </w:numPr>
        <w:spacing w:before="0" w:after="240"/>
        <w:jc w:val="both"/>
        <w:rPr>
          <w:rFonts w:ascii="Arial" w:eastAsia="Arial" w:hAnsi="Arial" w:cs="Arial"/>
          <w:color w:val="000000"/>
          <w:sz w:val="20"/>
          <w:szCs w:val="20"/>
        </w:rPr>
      </w:pPr>
      <w:bookmarkStart w:id="14" w:name="_heading=h.82hw5xg4a0yw" w:colFirst="0" w:colLast="0"/>
      <w:bookmarkEnd w:id="14"/>
      <w:r>
        <w:rPr>
          <w:rFonts w:ascii="Arial" w:eastAsia="Arial" w:hAnsi="Arial" w:cs="Arial"/>
          <w:color w:val="000000"/>
          <w:sz w:val="20"/>
          <w:szCs w:val="20"/>
        </w:rPr>
        <w:t>La Bolsa Mercantil constituye un mecanismo jurídicamente procedente y técnica y económicamente justificado para adelantar la adquisición.</w:t>
      </w:r>
    </w:p>
    <w:p w14:paraId="3E3BF1CA" w14:textId="77777777" w:rsidR="00BE6367" w:rsidRDefault="00C90F6A">
      <w:pPr>
        <w:pStyle w:val="Heading2"/>
        <w:spacing w:before="240" w:after="240"/>
        <w:jc w:val="both"/>
        <w:rPr>
          <w:rFonts w:ascii="Arial" w:eastAsia="Arial" w:hAnsi="Arial" w:cs="Arial"/>
          <w:color w:val="000000"/>
          <w:sz w:val="20"/>
          <w:szCs w:val="20"/>
        </w:rPr>
      </w:pPr>
      <w:bookmarkStart w:id="15" w:name="_heading=h.jjhygu99pnh4" w:colFirst="0" w:colLast="0"/>
      <w:bookmarkEnd w:id="15"/>
      <w:r>
        <w:rPr>
          <w:rFonts w:ascii="Arial" w:eastAsia="Arial" w:hAnsi="Arial" w:cs="Arial"/>
          <w:color w:val="000000"/>
          <w:sz w:val="20"/>
          <w:szCs w:val="20"/>
        </w:rPr>
        <w:t>Por los anteriores motivos, no se accede a la solicitud de excluir los ítems cuestionados, modificar la modalidad de selección ni acreditar la existencia de dos fabricantes por cada ficha técnica, y se mantiene la selección abreviada mediante el Mercado de Compras Públicas de la Bolsa Mercantil de Colombia</w:t>
      </w:r>
    </w:p>
    <w:p w14:paraId="1CB7AE06" w14:textId="77777777" w:rsidR="00BE6367" w:rsidRDefault="00BE6367">
      <w:pPr>
        <w:pStyle w:val="Heading2"/>
        <w:spacing w:before="260" w:after="160"/>
        <w:jc w:val="both"/>
        <w:rPr>
          <w:rFonts w:ascii="Arial" w:eastAsia="Arial" w:hAnsi="Arial" w:cs="Arial"/>
          <w:sz w:val="20"/>
          <w:szCs w:val="20"/>
        </w:rPr>
      </w:pPr>
      <w:bookmarkStart w:id="16" w:name="_heading=h.xdctrg9rpuoo" w:colFirst="0" w:colLast="0"/>
      <w:bookmarkEnd w:id="16"/>
    </w:p>
    <w:p w14:paraId="4D9BD546" w14:textId="77777777" w:rsidR="00BE6367" w:rsidRDefault="00C90F6A">
      <w:pPr>
        <w:pStyle w:val="Heading2"/>
        <w:spacing w:before="260" w:after="160"/>
        <w:jc w:val="both"/>
        <w:rPr>
          <w:rFonts w:ascii="Arial" w:eastAsia="Arial" w:hAnsi="Arial" w:cs="Arial"/>
          <w:sz w:val="20"/>
          <w:szCs w:val="20"/>
        </w:rPr>
      </w:pPr>
      <w:r>
        <w:rPr>
          <w:rFonts w:ascii="Arial" w:eastAsia="Arial" w:hAnsi="Arial" w:cs="Arial"/>
          <w:sz w:val="20"/>
          <w:szCs w:val="20"/>
        </w:rPr>
        <w:t>5.3. Observación No. 12 – Agregación en un conjunto único y proporcionalidad de los requisitos habilitantes</w:t>
      </w:r>
    </w:p>
    <w:p w14:paraId="6E51C800"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 xml:space="preserve">La FTN estructura la negociación como un único conjunto de 57 ítems con puja por precio en una (1) sola operación. Bajo ese único paquete coexisten familias de bienes y servicios profundamente heterogéneas: 3.500 computadores AIO de dotación masiva; 23 estaciones de trabajo de alto desempeño con monitores profesionales; equipos de ecosistema Apple; periféricos; equipo fotográfico y de video profesional (cámaras, lentes, drones, estabilizadores); soluciones audiovisuales y de videoconferencia de salas; el equipamiento integral de una sala </w:t>
      </w:r>
      <w:r>
        <w:rPr>
          <w:rFonts w:ascii="Arial" w:eastAsia="Arial" w:hAnsi="Arial" w:cs="Arial"/>
          <w:sz w:val="20"/>
          <w:szCs w:val="20"/>
        </w:rPr>
        <w:lastRenderedPageBreak/>
        <w:t>de audiencias (conferencia, conmutación multicámara, procesamiento de señal, automatización); software de audiencias con su servidor; y servicios de adecuación física, instalación, programación, mantenimiento y soporte especializado por un año (ítems 51 a 57).</w:t>
      </w:r>
    </w:p>
    <w:p w14:paraId="5272A594"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Esa agregación impone a cualquier interesado la carga de reunir simultáneamente condiciones que en el mercado corresponden a perfiles empresariales distintos: ser partner o distribuidor autorizado de los fabricantes de los equipos de cómputo (ítems 1, 2, 9, 10 y 11), estar autorizado para la comercialización e instalación de las soluciones de video y conferencia (ítems 37 a 42), disponer de personal certificado por los fabricantes audiovisuales en diseño e ingeniería de soluciones de video (ítems 34 y 35) y con vinculación directa a su nómina, acreditar experiencia en el suministro de mínimo 500 equipos de cómputo y, además, al menos una implementación de plataformas de software de gestión de audiencias o sesiones en los últimos cinco (5) años, todo ello con certificaciones cuya sumatoria iguale o supere el cien por ciento (100%) del presupuesto, es decir, contratos por más de $51.460 millones. A ello se agregan las garantías adicionales exigidas (cumplimiento 20%, calidad del servicio 20%, calidad y correcto funcionamiento 20% y salarios 5%, con vigencias que incluyen los tres años de garantía), cuyo costo financiero solo pueden asumir estructuras empresariales de gran tamaño.</w:t>
      </w:r>
    </w:p>
    <w:p w14:paraId="13470918"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El artículo 5, numeral 1, de la Ley 1150 de 2007 ordena que los requisitos habilitantes sean adecuados y proporcionales a la naturaleza del contrato a suscribir y a su valor. La proporcionalidad debe evaluarse frente a cada prestación: la experiencia en implementación de plataformas de audiencias, pertinente para los ítems 49, 50 y conexos, que representan menos del 3% del presupuesto, opera en la práctica como requisito de acceso a la totalidad de la operación, incluido el 82% correspondiente a los AIO, respecto del cual ninguna relación guarda. Idéntico razonamiento aplica a las autorizaciones de fabricantes audiovisuales como condición para vender computadores. Este apalancamiento de requisitos de un componente menor sobre el conjunto total configura una barrera de entrada desproporcionada, que restringe la libre concurrencia sin beneficio correlativo para la Entidad y que, además, torna inoperantes los factores diferenciales en favor de Mipymes y de empresas de personas con discapacidad que la propia FTN invoca (artículo 2.2.1.2.4.2.18 del Decreto 1082 de 2015, adicionado por el Decreto 1860 de 2021, y Decreto 287 de 2026), pues ninguna empresa de esas categorías puede razonablemente acreditar contratos por más de $51.460 millones.</w:t>
      </w:r>
    </w:p>
    <w:p w14:paraId="27348788"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El propio ordenamiento ofrece la solución: el Reglamento de Funcionamiento y Operación de la Bolsa contempla la negociación por conjuntos de bienes definidos por la Entidad, de modo que nada impide estructurar conjuntos independientes, por ejemplo: (i) cómputo personal y periféricos; (ii) estaciones de trabajo y monitores profesionales; (iii) equipos audiovisuales y de producción; (iv) sala de audiencias con sus servicios conexos, cada uno con requisitos de experiencia y autorizaciones proporcionales a su naturaleza y valor. Esa división multiplicaría el número de posibles comitentes vendedores por conjunto, intensificaría la puja y reduciría el riesgo de incumplimiento derivado de concentrar en un solo proveedor prestaciones que exigen capacidades técnicas disímiles.</w:t>
      </w:r>
    </w:p>
    <w:p w14:paraId="25402D85"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Solicitud: dividir la operación en conjuntos independientes por familias de bienes y servicios, o justificar expresamente en los estudios previos, con evidencia del análisis del sector, que la agregación en un conjunto único no restringe la concurrencia y resulta más ventajosa para la Entidad; y, en cualquier caso, reasignar los requisitos de experiencia específica y las autorizaciones de fabricante de manera proporcional al componente al que efectivamente corresponden.</w:t>
      </w:r>
    </w:p>
    <w:p w14:paraId="2A1F1B3D" w14:textId="77777777" w:rsidR="00BE6367" w:rsidRDefault="00C90F6A">
      <w:pPr>
        <w:pStyle w:val="Heading2"/>
        <w:spacing w:before="260" w:after="160"/>
        <w:jc w:val="both"/>
        <w:rPr>
          <w:rFonts w:ascii="Arial" w:eastAsia="Arial" w:hAnsi="Arial" w:cs="Arial"/>
          <w:sz w:val="20"/>
          <w:szCs w:val="20"/>
        </w:rPr>
      </w:pPr>
      <w:bookmarkStart w:id="17" w:name="_heading=h.xqpwe3idxk9g" w:colFirst="0" w:colLast="0"/>
      <w:bookmarkEnd w:id="17"/>
      <w:r>
        <w:rPr>
          <w:rFonts w:ascii="Arial" w:eastAsia="Arial" w:hAnsi="Arial" w:cs="Arial"/>
          <w:b/>
          <w:bCs/>
          <w:color w:val="000000"/>
          <w:sz w:val="20"/>
          <w:szCs w:val="20"/>
        </w:rPr>
        <w:lastRenderedPageBreak/>
        <w:t>RESPUESTA A OBSERVACIÓN:</w:t>
      </w:r>
    </w:p>
    <w:p w14:paraId="0664B76C" w14:textId="77777777" w:rsidR="00BE6367" w:rsidRDefault="00C90F6A">
      <w:pPr>
        <w:pStyle w:val="Heading2"/>
        <w:spacing w:before="240" w:after="240"/>
        <w:jc w:val="both"/>
        <w:rPr>
          <w:rFonts w:ascii="Arial" w:eastAsia="Arial" w:hAnsi="Arial" w:cs="Arial"/>
          <w:color w:val="000000"/>
          <w:sz w:val="20"/>
          <w:szCs w:val="20"/>
        </w:rPr>
      </w:pPr>
      <w:r>
        <w:rPr>
          <w:rFonts w:ascii="Arial" w:eastAsia="Arial" w:hAnsi="Arial" w:cs="Arial"/>
          <w:color w:val="000000"/>
          <w:sz w:val="20"/>
          <w:szCs w:val="20"/>
        </w:rPr>
        <w:t>No se acoge la observación.</w:t>
      </w:r>
    </w:p>
    <w:p w14:paraId="60DD6FEA" w14:textId="77777777" w:rsidR="00BE6367" w:rsidRDefault="00C90F6A">
      <w:pPr>
        <w:pStyle w:val="Heading2"/>
        <w:spacing w:before="240" w:after="240"/>
        <w:jc w:val="both"/>
        <w:rPr>
          <w:rFonts w:ascii="Arial" w:eastAsia="Arial" w:hAnsi="Arial" w:cs="Arial"/>
          <w:sz w:val="20"/>
          <w:szCs w:val="20"/>
        </w:rPr>
      </w:pPr>
      <w:r>
        <w:rPr>
          <w:rFonts w:ascii="Arial" w:eastAsia="Arial" w:hAnsi="Arial" w:cs="Arial"/>
          <w:color w:val="000000"/>
          <w:sz w:val="20"/>
          <w:szCs w:val="20"/>
        </w:rPr>
        <w:t>La Entidad estructuró la negociación en una sola operación,  con fundamento en la unidad funcional de la necesidad, la complementariedad técnica de sus componentes, la conveniencia económica de realizar una adquisición agregada y la necesidad de contar con un responsable integral del suministro, instalación, configuración, puesta en funcionamiento, garantía y soporte de los bienes y servicios requeridos.</w:t>
      </w:r>
    </w:p>
    <w:p w14:paraId="2A1B615D"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Esta determinación se encuentra sustentada en los estudios y documentos previos, el análisis del sector, la matriz de riesgos, las fichas técnicas y la Ficha Técnica de Negociación, documentos en los cuales se analizaron las condiciones jurídicas, técnicas, económicas, comerciales, financieras, operativas y de ejecución aplicables al proceso.</w:t>
      </w:r>
    </w:p>
    <w:p w14:paraId="77730233"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1. Procedencia de la negociación como un conjunto único</w:t>
      </w:r>
    </w:p>
    <w:p w14:paraId="1228616E"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El Reglamento de Funcionamiento y Operación de la Bolsa Mercantil de Colombia permite que las entidades estatales adquieran conjuntos de bienes, productos o servicios agrupados de acuerdo con las condiciones que ellas mismas establezcan.</w:t>
      </w:r>
    </w:p>
    <w:p w14:paraId="322E7907"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En tales eventos, la puja se realiza por el precio total del conjunto, sin perjuicio de que se determinen y controlen los precios unitarios máximos de cada uno de sus componentes. Por consiguiente, el Reglamento habilita la negociación por conjuntos, pero no impone a las entidades la obligación de dividir cada adquisición en múltiples operaciones o familias independientes.</w:t>
      </w:r>
    </w:p>
    <w:p w14:paraId="3BE5C0A2"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La decisión de conformar uno o varios conjuntos corresponde a la Entidad, de acuerdo con la forma en que haya identificado y estructurado su necesidad. En el presente caso, la adquisición no se limita a la compra aislada de bienes disponibles en inventario, sino que comprende la renovación del parque computacional, el suministro de equipos especializados, la implementación de soluciones audiovisuales y la puesta en funcionamiento de una sala de audiencias, junto con los componentes, servicios y soportes necesarios para garantizar su operación.</w:t>
      </w:r>
    </w:p>
    <w:p w14:paraId="781BDE71"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La diversidad de referencias, capacidades o familias tecnológicas no determina, por sí sola, la inexistencia de unidad contractual. Lo relevante es establecer si los componentes están orientados a satisfacer una necesidad institucional común y si existen razones técnicas, administrativas y económicas que justifiquen su adquisición coordinada. En este proceso, los elementos requeridos forman parte de una estrategia de modernización tecnológica que exige compatibilidad, coordinación logística, administración uniforme de garantías, integración de componentes y disponibilidad de soporte especializado.</w:t>
      </w:r>
    </w:p>
    <w:p w14:paraId="60317BDA" w14:textId="77777777" w:rsidR="00BE6367" w:rsidRDefault="00C90F6A">
      <w:pPr>
        <w:pStyle w:val="Heading2"/>
        <w:pBdr>
          <w:top w:val="nil"/>
          <w:left w:val="nil"/>
          <w:bottom w:val="nil"/>
          <w:right w:val="nil"/>
          <w:between w:val="nil"/>
        </w:pBdr>
        <w:spacing w:before="240" w:after="240"/>
        <w:jc w:val="both"/>
        <w:rPr>
          <w:rFonts w:ascii="Arial" w:eastAsia="Arial" w:hAnsi="Arial" w:cs="Arial"/>
          <w:sz w:val="20"/>
          <w:szCs w:val="20"/>
        </w:rPr>
      </w:pPr>
      <w:r>
        <w:rPr>
          <w:rFonts w:ascii="Arial" w:eastAsia="Arial" w:hAnsi="Arial" w:cs="Arial"/>
          <w:color w:val="000000"/>
          <w:sz w:val="20"/>
          <w:szCs w:val="20"/>
        </w:rPr>
        <w:t>En consecuencia, la posibilidad de dividir la operación prevista en el Reglamento de la Bolsa constituye una alternativa de estructuración y no una obligación jurídica. El observante no identifica una disposición legal o reglamentaria que imponga a la Entidad separar el conjunto por familias tecnológicas ni demuestra que la estructura definida sea contraria a las reglas del Mercado de Compras Públicas.</w:t>
      </w:r>
    </w:p>
    <w:p w14:paraId="65693C20"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2. Unidad funcional y responsabilidad integral</w:t>
      </w:r>
    </w:p>
    <w:p w14:paraId="113480FA"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La agrupación obedece a que la Entidad requiere un resultado integral y no únicamente la entrega independiente de cincuenta y siete productos o servicios.</w:t>
      </w:r>
    </w:p>
    <w:p w14:paraId="2644B922"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lastRenderedPageBreak/>
        <w:t>La implementación exige coordinación entre el suministro de equipos de cómputo, estaciones de trabajo, periféricos, componentes audiovisuales, soluciones de videoconferencia, equipos de captura y procesamiento de audio y video, plataforma para la gestión y grabación de audiencias, cableado, instalación, configuración, automatización, pruebas, mantenimiento y soporte.</w:t>
      </w:r>
    </w:p>
    <w:p w14:paraId="357F1DAD"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La fragmentación en operaciones independientes podría generar diferencias en los cronogramas de suministro e implementación, incompatibilidades técnicas, dificultades en la administración de garantías y controversias respecto de la responsabilidad por fallas que involucren componentes suministrados por distintos proveedores.</w:t>
      </w:r>
    </w:p>
    <w:p w14:paraId="68A244E5"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La contratación integral permite contar con un único comitente vendedor responsable frente a la Entidad por el cumplimiento de la totalidad de las condiciones de la negociación. Ello facilita la planeación de entregas, la configuración conjunta, la ejecución de pruebas de interoperabilidad, la atención de incidentes, el escalamiento ante fabricantes y la determinación de responsabilidades durante la garantía y el soporte.</w:t>
      </w:r>
    </w:p>
    <w:p w14:paraId="3439F73C"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La circunstancia de que algunos componentes representen una proporción menor del presupuesto no disminuye su importancia funcional. Una plataforma de gestión de audiencias, un sistema de automatización o un componente de procesamiento audiovisual puede representar un porcentaje reducido del valor total y, al mismo tiempo, ser determinante para la operación integral de la sala y para el cumplimiento de la finalidad institucional perseguida.</w:t>
      </w:r>
    </w:p>
    <w:p w14:paraId="2ECE7DCF"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Por esta razón, la relevancia de un requisito técnico o de experiencia no puede medirse exclusivamente por el porcentaje presupuestal del ítem al que se encuentra asociado, sino también por su criticidad, complejidad, especialidad y efecto sobre la correcta ejecución del conjunto.</w:t>
      </w:r>
    </w:p>
    <w:p w14:paraId="42BD2CD7"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3. Proporcionalidad de los requisitos habilitantes</w:t>
      </w:r>
    </w:p>
    <w:p w14:paraId="6E6E083F"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El numeral 1 del artículo 5 de la Ley 1150 de 2007 dispone que las condiciones de experiencia, capacidad financiera y capacidad organizacional deben ser adecuadas y proporcionales a la naturaleza y al valor del contrato. Esta regla no exige que cada requisito se divida matemáticamente entre los diferentes ítems, sino que exista una relación razonable entre las capacidades exigidas y las obligaciones, el valor y los riesgos que asumirá el futuro contratista.</w:t>
      </w:r>
    </w:p>
    <w:p w14:paraId="0E3F586B"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En el mismo sentido, el artículo 2.2.1.1.1.6.2 del Decreto 1082 de 2015 establece que, para determinar los requisitos habilitantes, la Entidad debe considerar el riesgo del proceso, el valor del contrato, el análisis del sector y el conocimiento de los posibles oferentes desde la perspectiva comercial. Estos elementos fueron considerados durante la estructuración del proceso.</w:t>
      </w:r>
    </w:p>
    <w:p w14:paraId="2F2FBA58"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La proporcionalidad se analiza frente al alcance de la obligación que asumirá el comitente vendedor seleccionado. Debido a que la negociación se adjudica integralmente, el futuro proveedor deberá demostrar capacidad suficiente para coordinar y responder por la ejecución de la totalidad del conjunto. No resultaría coherente exigir experiencia y capacidad solamente respecto del componente de mayor valor, omitiendo la verificación de capacidades necesarias para implementar los elementos especializados que también forman parte del resultado contractual.</w:t>
      </w:r>
    </w:p>
    <w:p w14:paraId="550C81A8"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La experiencia asociada al suministro de un volumen mínimo de equipos de cómputo permite verificar que el interesado dispone de capacidad logística, comercial, financiera y operativa para atender una adquisición masiva, administrar entregas, gestionar garantías y coordinar la disponibilidad de inventario o fabricación.</w:t>
      </w:r>
    </w:p>
    <w:p w14:paraId="5BD6F301"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lastRenderedPageBreak/>
        <w:t>Por su parte, la experiencia relacionada con plataformas de gestión de audiencias busca reducir los riesgos derivados de la implementación de una solución que debe integrarse con equipos audiovisuales, servidores, componentes de grabación, almacenamiento y automatización. Este requisito no pretende calificar la capacidad para vender computadores, sino comprobar que el futuro comitente vendedor, directamente o mediante la estructura empresarial correspondiente, cuenta con experiencia suficiente para responder por uno de los componentes especializados y críticos de la solución.</w:t>
      </w:r>
    </w:p>
    <w:p w14:paraId="6035598F"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La experiencia habilitante no exige que un único contrato anterior reproduzca de manera idéntica la totalidad del objeto de la negociación. La FTN permite su acreditación mediante varios contratos, lo que facilita que los interesados sumen experiencias relacionadas con los diferentes componentes del objeto. La Agencia Nacional de Contratación Pública ha indicado que la experiencia puede adquirirse directamente o mediante la participación asociada con otras personas y que debe permitir verificar el conocimiento necesario para ejecutar actividades iguales o similares, evitando improvisaciones y mayores costos durante la ejecución.</w:t>
      </w:r>
    </w:p>
    <w:p w14:paraId="79B9A7E0"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Por tanto, la exigencia de una sumatoria de experiencia relacionada con el valor del proceso busca verificar que el futuro comitente vendedor haya administrado obligaciones de una dimensión económica y operativa comparable. No significa que deba acreditar un solo contrato por el valor total del presupuesto ni que cada certificación deba incluir la totalidad de los cincuenta y siete ítems.</w:t>
      </w:r>
    </w:p>
    <w:p w14:paraId="626A2FEA"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4. Autorizaciones de fabricantes y personal certificado</w:t>
      </w:r>
    </w:p>
    <w:p w14:paraId="1EBD0172"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Las autorizaciones de fabricante o canal exigidas tienen como finalidad verificar que el futuro comitente vendedor cuenta con acceso legítimo a la cadena de suministro, respaldo comercial y técnico, garantía de origen, actualización, soporte y posibilidad de escalamiento respecto de los componentes para los cuales se solicita dicha condición.</w:t>
      </w:r>
    </w:p>
    <w:p w14:paraId="53ED394C"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Estas autorizaciones no tienen como finalidad acreditar experiencia para el suministro de bienes pertenecientes a otra familia tecnológica ni convierten a un fabricante audiovisual en requisito para la comercialización de equipos de cómputo. Su función consiste en garantizar que, dentro de la capacidad integral del comitente vendedor, se cuente con el respaldo necesario para suministrar, instalar y soportar los respectivos componentes.</w:t>
      </w:r>
    </w:p>
    <w:p w14:paraId="4EBBEC01"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De igual manera, la exigencia de personal certificado en diseño, ingeniería, configuración o implementación de soluciones audiovisuales responde a la complejidad de las actividades que deben adelantarse en la sala de audiencias. No se trata exclusivamente de entregar equipos, sino de integrarlos, programarlos, configurarlos y ponerlos en funcionamiento conforme a las condiciones técnicas exigidas.</w:t>
      </w:r>
    </w:p>
    <w:p w14:paraId="1A59C293"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La vinculación directa del personal permite verificar su disponibilidad efectiva durante la ejecución, reducir los riesgos asociados a la dependencia de recursos ocasionales y asegurar que el comitente vendedor mantenga capacidad de dirección, coordinación y respuesta frente a las actividades especializadas. Estos requisitos se encuentran relacionados con los riesgos técnicos identificados y no corresponden a exigencias ajenas al objeto contractual.</w:t>
      </w:r>
    </w:p>
    <w:p w14:paraId="008A3D93"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5. Participación de estructuras plurales y concurrencia</w:t>
      </w:r>
    </w:p>
    <w:p w14:paraId="5268DE68"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La estructuración integral no exige que todos los interesados sean fabricantes o que desarrollen internamente cada una de las especialidades requeridas.</w:t>
      </w:r>
    </w:p>
    <w:p w14:paraId="1C2929DB"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lastRenderedPageBreak/>
        <w:t>Los documentos del proceso permiten la participación mediante consorcios o uniones temporales, a través de los cuales empresas con capacidades complementarias pueden presentar una oferta conjunta, distribuir las actividades de ejecución y aportar experiencia, recursos, personal, autorizaciones y conocimientos especializados.</w:t>
      </w:r>
    </w:p>
    <w:p w14:paraId="72376EFA"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La Agencia Nacional de Contratación Pública ha señalado que los consorcios y las uniones temporales son mecanismos de colaboración empresarial mediante los cuales sus integrantes se organizan para presentar una propuesta conjunta y compartir recursos, capacidades, riesgos y responsabilidades en la ejecución de un contrato estatal.</w:t>
      </w:r>
    </w:p>
    <w:p w14:paraId="53A96468"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Así, una empresa especializada en suministro masivo de equipos de cómputo puede asociarse con una empresa integradora de soluciones audiovisuales, una compañía con experiencia en plataformas de audiencias o un proveedor con personal certificado. La posibilidad de conformar estructuras plurales permite que el mercado organice las capacidades requeridas para atender la solución integral, sin que resulte necesario que una sola persona jurídica reúna internamente todas las especialidades.</w:t>
      </w:r>
    </w:p>
    <w:p w14:paraId="247DBFBA"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La libre concurrencia no implica que la Entidad deba diseñar el proceso para que cualquier proveedor pueda participar individualmente, con independencia de su capacidad. Implica que los requisitos tengan relación con el objeto, se apliquen en condiciones de igualdad y permitan la participación de quienes acrediten la capacidad necesaria, individualmente o mediante las formas asociativas autorizadas por el ordenamiento jurídico.</w:t>
      </w:r>
    </w:p>
    <w:p w14:paraId="0731032A"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6. Criterios diferenciales para Mipyme y personas con discapacidad</w:t>
      </w:r>
    </w:p>
    <w:p w14:paraId="7E530565"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Los criterios diferenciales previstos para Mipyme y para emprendimientos y empresas de personas con discapacidad facilitan la acreditación de las condiciones habilitantes, pero no eliminan la obligación de demostrar una capacidad mínima suficiente para ejecutar el objeto contractual.</w:t>
      </w:r>
    </w:p>
    <w:p w14:paraId="5202FB29"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En relación con las empresas y emprendimientos de personas con discapacidad, la regulación vigente exige establecer requisitos ajustados o diferenciales, sin que ello implique fijar condiciones que resulten insuficientes para acreditar la idoneidad o que pongan en riesgo el cumplimiento del contrato. La proporcionalidad impide tanto establecer requisitos excesivos que hagan inoperante el beneficio como reducirlos hasta el punto de comprometer la ejecución. La regulación también contempla su aplicación a proponentes plurales cuando se cumplan las condiciones de participación y aporte de experiencia previstas.</w:t>
      </w:r>
    </w:p>
    <w:p w14:paraId="576A3D51"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Por tanto, no es acertado afirmar que estos mecanismos sean inoperantes por el hecho de que una empresa beneficiaria no pueda acreditar individualmente toda la capacidad requerida. La normativa permite su participación mediante estructuras plurales, siempre que se observen las reglas establecidas para la acreditación de la condición diferencial y de los requisitos habilitantes.</w:t>
      </w:r>
    </w:p>
    <w:p w14:paraId="21BF3C12"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La aplicación de medidas afirmativas debe armonizarse con la protección de los recursos públicos, la idoneidad del contratista y la necesidad de asegurar el cumplimiento de una operación de considerable valor y complejidad.</w:t>
      </w:r>
    </w:p>
    <w:p w14:paraId="40704ABE"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7. Garantías exigidas</w:t>
      </w:r>
    </w:p>
    <w:p w14:paraId="2EF02A73"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Los amparos señalados por la observante no constituyen requisitos habilitantes para participar en la rueda de negociación, sino mecanismos de cobertura que deberá constituir el comitente vendedor seleccionado para respaldar los riesgos derivados de la ejecución.</w:t>
      </w:r>
    </w:p>
    <w:p w14:paraId="4E9945EF"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lastRenderedPageBreak/>
        <w:t>Los porcentajes de los diferentes amparos no pueden sumarse como si correspondieran a un único costo financiero o a una inmovilización equivalente a ese porcentaje del valor contractual. Cada amparo cubre un riesgo diferente, cuenta con condiciones de vigencia propias y se hace efectivo únicamente cuando se configura el respectivo siniestro.</w:t>
      </w:r>
    </w:p>
    <w:p w14:paraId="691CB897"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El Decreto 1082 de 2015 establece que la Entidad Estatal y el comitente vendedor deben constituir las garantías previstas por el organismo de compensación de la bolsa para respaldar el cumplimiento de la negociación. Por su parte, el Reglamento de la BMC permite que la FTN incluya garantías adicionales cuando la Entidad las considere necesarias, de acuerdo con las características y riesgos de la operación.</w:t>
      </w:r>
    </w:p>
    <w:p w14:paraId="0DE25FBC"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Los amparos de cumplimiento, calidad del servicio, calidad y correcto funcionamiento de los bienes y pago de salarios y prestaciones protegen contingencias distintas y guardan relación con la naturaleza mixta de las obligaciones, la cantidad de bienes, la instalación, la garantía técnica, el soporte y el personal requerido durante la ejecución.</w:t>
      </w:r>
    </w:p>
    <w:p w14:paraId="407F71D5"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El costo de expedición de las garantías constituye un gasto previsible que los interesados pueden considerar en la estructuración de sus ofertas. Su exigencia no demuestra, por sí sola, una restricción indebida, especialmente cuando se trata de una operación cuyo valor, plazo, alcance y riesgos requieren mecanismos suficientes de protección para la Entidad.</w:t>
      </w:r>
    </w:p>
    <w:p w14:paraId="743EDD9B"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8. Conveniencia económica de la adquisición agregada</w:t>
      </w:r>
    </w:p>
    <w:p w14:paraId="2AC86C5C"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Desde la perspectiva económica, la negociación conjunta permite concentrar el volumen de compra y someter el valor integral de la operación a una puja por precio a la baja. Esta estructura genera un incentivo para que los potenciales comitentes vendedores obtengan mejores condiciones de fabricantes, mayoristas, distribuidores e integradores y trasladen dichas eficiencias a su postura.</w:t>
      </w:r>
    </w:p>
    <w:p w14:paraId="65F1D25F"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La agregación también evita la duplicación de costos asociados a la estructuración y publicación de varias negociaciones, selección y remuneración de comisionistas, tarifas de la Bolsa, constitución y administración de garantías, supervisión, coordinación logística y gestión contractual.</w:t>
      </w:r>
    </w:p>
    <w:p w14:paraId="09207542"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La división propuesta podría producir adjudicaciones en momentos distintos, diferencias en los plazos de entrega, incompatibilidades entre componentes, mayores costos de coordinación y dificultades para establecer responsabilidades frente a fallas de integración. Igualmente, podría reducir las economías de escala asociadas al volumen global de la adquisición.</w:t>
      </w:r>
    </w:p>
    <w:p w14:paraId="3D3F2A49"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La negociación por conjunto no impide el control individual de los precios. El Reglamento y la Circular de la BMC exigen que la FTN indique los precios máximos unitarios y que, finalizada la puja, el comitente vendedor adjudicatario informe el precio de cada bien o servicio. Ningún precio unitario puede superar el máximo establecido por la Entidad en los estudios previos y en la FTN; de ocurrir, la operación puede ser anulada y revisarse la siguiente postura.</w:t>
      </w:r>
    </w:p>
    <w:p w14:paraId="3B460D09"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Este mecanismo evita que la reducción global del conjunto sea utilizada para ocultar sobreprecios en alguno de los ítems y permite verificar que la adjudicación se mantenga dentro de los límites económicos definidos durante la planeación.</w:t>
      </w:r>
    </w:p>
    <w:p w14:paraId="096ED5EF"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9. Cumplimiento del deber de planeación</w:t>
      </w:r>
    </w:p>
    <w:p w14:paraId="7C11E61F"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La conformación del conjunto y los requisitos habilitantes no fueron definidos de manera aislada o carente de soporte.</w:t>
      </w:r>
    </w:p>
    <w:p w14:paraId="55B62B39"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lastRenderedPageBreak/>
        <w:t>El análisis del sector consideró las condiciones del mercado, la capacidad de los posibles proveedores, la existencia de distribuidores, integradores y canales autorizados, la posibilidad de conformar estructuras plurales, los riesgos de suministro e implementación, los costos de la operación y las condiciones necesarias para garantizar la correcta ejecución.</w:t>
      </w:r>
    </w:p>
    <w:p w14:paraId="48A4FC34"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El artículo 2.2.1.1.1.6.1 del Decreto 1082 de 2015 exige que, durante la planeación, las entidades analicen el sector desde las perspectivas legal, comercial, financiera, organizacional, técnica y de riesgos, y que dejen constancia de dicho análisis en los documentos del proceso. El artículo 2.2.1.1.1.6.2 exige que los habilitantes se determinen considerando el riesgo, el valor, el análisis sectorial y el conocimiento de los posibles oferentes.</w:t>
      </w:r>
    </w:p>
    <w:p w14:paraId="7C6C3034"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Adicionalmente, para acudir a la bolsa de productos, la Entidad debe estudiar y comparar las ventajas de este mecanismo frente a las alternativas legalmente disponibles, incluyendo el procedimiento para seleccionar al comisionista, la comisión, las garantías y los demás costos asociados, dejando constancia de la forma en que se garantizan los principios de la contratación pública, la función administrativa y la gestión fiscal.</w:t>
      </w:r>
    </w:p>
    <w:p w14:paraId="5D822882" w14:textId="77777777" w:rsidR="00BE6367" w:rsidRDefault="00C90F6A">
      <w:pPr>
        <w:pStyle w:val="Heading2"/>
        <w:pBdr>
          <w:top w:val="nil"/>
          <w:left w:val="nil"/>
          <w:bottom w:val="nil"/>
          <w:right w:val="nil"/>
          <w:between w:val="nil"/>
        </w:pBdr>
        <w:spacing w:before="240" w:after="240"/>
        <w:jc w:val="both"/>
        <w:rPr>
          <w:rFonts w:ascii="Arial" w:eastAsia="Arial" w:hAnsi="Arial" w:cs="Arial"/>
          <w:sz w:val="20"/>
          <w:szCs w:val="20"/>
        </w:rPr>
      </w:pPr>
      <w:r>
        <w:rPr>
          <w:rFonts w:ascii="Arial" w:eastAsia="Arial" w:hAnsi="Arial" w:cs="Arial"/>
          <w:color w:val="000000"/>
          <w:sz w:val="20"/>
          <w:szCs w:val="20"/>
        </w:rPr>
        <w:t>Estos análisis se encuentran desarrollados en los estudios y documentos previos. La observación plantea una alternativa de estructuración diferente, pero la existencia de otra opción posible no desvirtúa la legalidad, razonabilidad o conveniencia de la decisión adoptada por la Entidad.</w:t>
      </w:r>
    </w:p>
    <w:p w14:paraId="6558F989"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Así las cosas, la Entidad considera que la negociación en un único conjunto se encuentra técnica, jurídica y económicamente justificada, en atención a la unidad funcional de la necesidad, la complementariedad de los componentes, los riesgos de integración, la responsabilidad integral requerida, las eficiencias derivadas de la agregación de demanda y las reglas propias del Mercado de Compras Públicas.</w:t>
      </w:r>
    </w:p>
    <w:p w14:paraId="2169F5B5"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Los requisitos de experiencia, autorizaciones, personal especializado, capacidad y garantías guardan relación con las obligaciones y riesgos que asumirá el comitente vendedor seleccionado. Así mismo, su acreditación puede realizarse a través de las alternativas y estructuras plurales permitidas en los documentos del proceso, lo que posibilita la concurrencia de empresas con capacidades complementarias.</w:t>
      </w:r>
    </w:p>
    <w:p w14:paraId="7903DAAC" w14:textId="77777777" w:rsidR="00BE6367" w:rsidRDefault="00C90F6A">
      <w:pPr>
        <w:pStyle w:val="Heading2"/>
        <w:pBdr>
          <w:top w:val="nil"/>
          <w:left w:val="nil"/>
          <w:bottom w:val="nil"/>
          <w:right w:val="nil"/>
          <w:between w:val="nil"/>
        </w:pBdr>
        <w:spacing w:before="240" w:after="240"/>
        <w:jc w:val="both"/>
        <w:rPr>
          <w:rFonts w:ascii="Arial" w:eastAsia="Arial" w:hAnsi="Arial" w:cs="Arial"/>
          <w:color w:val="000000"/>
          <w:sz w:val="20"/>
          <w:szCs w:val="20"/>
        </w:rPr>
      </w:pPr>
      <w:r>
        <w:rPr>
          <w:rFonts w:ascii="Arial" w:eastAsia="Arial" w:hAnsi="Arial" w:cs="Arial"/>
          <w:color w:val="000000"/>
          <w:sz w:val="20"/>
          <w:szCs w:val="20"/>
        </w:rPr>
        <w:t>En consecuencia, no se accede a dividir la operación en conjuntos independientes ni a modificar la asignación de los requisitos habilitantes y técnicos en los términos solicitados. Se mantiene la estructura integral de la negociación y las condiciones establecidas en la Ficha Técnica de Negociación.</w:t>
      </w:r>
    </w:p>
    <w:p w14:paraId="23E8E1FC" w14:textId="77777777" w:rsidR="00BE6367" w:rsidRDefault="00BE6367">
      <w:pPr>
        <w:pStyle w:val="Heading2"/>
        <w:spacing w:before="260" w:after="160"/>
        <w:jc w:val="both"/>
        <w:rPr>
          <w:rFonts w:ascii="Arial" w:eastAsia="Arial" w:hAnsi="Arial" w:cs="Arial"/>
          <w:sz w:val="20"/>
          <w:szCs w:val="20"/>
        </w:rPr>
      </w:pPr>
    </w:p>
    <w:p w14:paraId="383250CC" w14:textId="77777777" w:rsidR="00BE6367" w:rsidRDefault="00C90F6A">
      <w:pPr>
        <w:pStyle w:val="Heading2"/>
        <w:spacing w:before="260" w:after="160"/>
        <w:jc w:val="both"/>
        <w:rPr>
          <w:rFonts w:ascii="Arial" w:eastAsia="Arial" w:hAnsi="Arial" w:cs="Arial"/>
          <w:sz w:val="20"/>
          <w:szCs w:val="20"/>
        </w:rPr>
      </w:pPr>
      <w:r>
        <w:rPr>
          <w:rFonts w:ascii="Arial" w:eastAsia="Arial" w:hAnsi="Arial" w:cs="Arial"/>
          <w:sz w:val="20"/>
          <w:szCs w:val="20"/>
        </w:rPr>
        <w:t>5.4. Observación No. 13 – Solicitud de ajustes puntuales a las fichas técnicas de los ítems 1 (AIO) y 2 (Workstation)</w:t>
      </w:r>
    </w:p>
    <w:p w14:paraId="7D526A30"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Con el propósito de que la Entidad cuente con una alternativa concreta de corrección que preserve sus necesidades funcionales y, al mismo tiempo, garantice la pluralidad de oferentes, respetuosamente se solicita realizar los siguientes ajustes a las Fichas Técnicas de Producto de los ítems 1 y 2. Cada ajuste se motiva desde lo técnico y desde lo jurídico; el fundamento jurídico común es el expuesto en las observaciones Nos. 10 y 11 (artículos 13, 209 y 333 de la Constitución Política; artículo 24, numeral 5, de la Ley 80 de 1993; artículos 2 y 5 de la Ley 1150 de 2007; artículos 2.2.1.1.1.3.1 y 2.2.1.1.1.6.1 del Decreto 1082 de 2015), en cuanto cada modificación sustituye un parámetro que hoy coincide con un único producto por un criterio funcional verificable que admite al menos dos fabricantes.</w:t>
      </w:r>
    </w:p>
    <w:p w14:paraId="5DC0A999"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ÍTEM 1 – COMPUTADOR DE ESCRITORIO TIPO AIO AVANZADO (3.500 unidades):</w:t>
      </w:r>
    </w:p>
    <w:tbl>
      <w:tblPr>
        <w:tblStyle w:val="af5"/>
        <w:tblW w:w="96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
        <w:gridCol w:w="2172"/>
        <w:gridCol w:w="2173"/>
        <w:gridCol w:w="2761"/>
        <w:gridCol w:w="2096"/>
      </w:tblGrid>
      <w:tr w:rsidR="00BE6367" w14:paraId="45578178" w14:textId="77777777">
        <w:trPr>
          <w:tblHeader/>
        </w:trPr>
        <w:tc>
          <w:tcPr>
            <w:tcW w:w="442" w:type="dxa"/>
            <w:tcBorders>
              <w:top w:val="single" w:sz="4" w:space="0" w:color="999999"/>
              <w:left w:val="single" w:sz="4" w:space="0" w:color="999999"/>
              <w:bottom w:val="single" w:sz="4" w:space="0" w:color="999999"/>
              <w:right w:val="single" w:sz="4" w:space="0" w:color="999999"/>
            </w:tcBorders>
            <w:shd w:val="clear" w:color="auto" w:fill="D9D9D9"/>
            <w:tcMar>
              <w:top w:w="80" w:type="dxa"/>
              <w:left w:w="120" w:type="dxa"/>
              <w:bottom w:w="80" w:type="dxa"/>
              <w:right w:w="120" w:type="dxa"/>
            </w:tcMar>
          </w:tcPr>
          <w:p w14:paraId="43373DA8"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lastRenderedPageBreak/>
              <w:t>N°</w:t>
            </w:r>
          </w:p>
        </w:tc>
        <w:tc>
          <w:tcPr>
            <w:tcW w:w="2172" w:type="dxa"/>
            <w:tcBorders>
              <w:top w:val="single" w:sz="4" w:space="0" w:color="999999"/>
              <w:left w:val="single" w:sz="4" w:space="0" w:color="999999"/>
              <w:bottom w:val="single" w:sz="4" w:space="0" w:color="999999"/>
              <w:right w:val="single" w:sz="4" w:space="0" w:color="999999"/>
            </w:tcBorders>
            <w:shd w:val="clear" w:color="auto" w:fill="D9D9D9"/>
            <w:tcMar>
              <w:top w:w="80" w:type="dxa"/>
              <w:left w:w="120" w:type="dxa"/>
              <w:bottom w:w="80" w:type="dxa"/>
              <w:right w:w="120" w:type="dxa"/>
            </w:tcMar>
          </w:tcPr>
          <w:p w14:paraId="39451F29"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t>REQUISITO ACTUAL (texto de la FTP)</w:t>
            </w:r>
          </w:p>
        </w:tc>
        <w:tc>
          <w:tcPr>
            <w:tcW w:w="2173" w:type="dxa"/>
            <w:tcBorders>
              <w:top w:val="single" w:sz="4" w:space="0" w:color="999999"/>
              <w:left w:val="single" w:sz="4" w:space="0" w:color="999999"/>
              <w:bottom w:val="single" w:sz="4" w:space="0" w:color="999999"/>
              <w:right w:val="single" w:sz="4" w:space="0" w:color="999999"/>
            </w:tcBorders>
            <w:shd w:val="clear" w:color="auto" w:fill="D9D9D9"/>
            <w:tcMar>
              <w:top w:w="80" w:type="dxa"/>
              <w:left w:w="120" w:type="dxa"/>
              <w:bottom w:w="80" w:type="dxa"/>
              <w:right w:w="120" w:type="dxa"/>
            </w:tcMar>
          </w:tcPr>
          <w:p w14:paraId="2BC94C86"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t>AJUSTE SOLICITADO</w:t>
            </w:r>
          </w:p>
        </w:tc>
        <w:tc>
          <w:tcPr>
            <w:tcW w:w="2761" w:type="dxa"/>
            <w:tcBorders>
              <w:top w:val="single" w:sz="4" w:space="0" w:color="999999"/>
              <w:left w:val="single" w:sz="4" w:space="0" w:color="999999"/>
              <w:bottom w:val="single" w:sz="4" w:space="0" w:color="999999"/>
              <w:right w:val="single" w:sz="4" w:space="0" w:color="999999"/>
            </w:tcBorders>
            <w:shd w:val="clear" w:color="auto" w:fill="D9D9D9"/>
            <w:tcMar>
              <w:top w:w="80" w:type="dxa"/>
              <w:left w:w="120" w:type="dxa"/>
              <w:bottom w:w="80" w:type="dxa"/>
              <w:right w:w="120" w:type="dxa"/>
            </w:tcMar>
          </w:tcPr>
          <w:p w14:paraId="64898858"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t>MOTIVACIÓN TÉCNICA Y JURÍDICA</w:t>
            </w:r>
          </w:p>
        </w:tc>
        <w:tc>
          <w:tcPr>
            <w:tcW w:w="2096" w:type="dxa"/>
            <w:tcBorders>
              <w:top w:val="single" w:sz="4" w:space="0" w:color="999999"/>
              <w:left w:val="single" w:sz="4" w:space="0" w:color="999999"/>
              <w:bottom w:val="single" w:sz="4" w:space="0" w:color="999999"/>
              <w:right w:val="single" w:sz="4" w:space="0" w:color="999999"/>
            </w:tcBorders>
            <w:shd w:val="clear" w:color="auto" w:fill="D9D9D9"/>
          </w:tcPr>
          <w:p w14:paraId="0B4085BE" w14:textId="77777777" w:rsidR="00BE6367" w:rsidRDefault="00C90F6A">
            <w:pPr>
              <w:spacing w:after="40"/>
              <w:jc w:val="both"/>
              <w:rPr>
                <w:rFonts w:ascii="Arial" w:eastAsia="Arial" w:hAnsi="Arial" w:cs="Arial"/>
                <w:b/>
                <w:bCs/>
                <w:sz w:val="20"/>
                <w:szCs w:val="20"/>
              </w:rPr>
            </w:pPr>
            <w:r>
              <w:rPr>
                <w:rFonts w:ascii="Arial" w:eastAsia="Arial" w:hAnsi="Arial" w:cs="Arial"/>
                <w:b/>
                <w:bCs/>
                <w:sz w:val="20"/>
                <w:szCs w:val="20"/>
              </w:rPr>
              <w:t>Respuestas</w:t>
            </w:r>
          </w:p>
        </w:tc>
      </w:tr>
      <w:tr w:rsidR="00BE6367" w14:paraId="5416C5D4" w14:textId="77777777">
        <w:tc>
          <w:tcPr>
            <w:tcW w:w="44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90EC251"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t>1</w:t>
            </w:r>
          </w:p>
        </w:tc>
        <w:tc>
          <w:tcPr>
            <w:tcW w:w="217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6418294"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Calidad: “Certificación Epeat Silver o superior Con Climate + / Certificación Energy Star”.</w:t>
            </w:r>
          </w:p>
        </w:tc>
        <w:tc>
          <w:tcPr>
            <w:tcW w:w="217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A3B49D9"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Solicitar certificación EPEAT GOLD.</w:t>
            </w:r>
          </w:p>
        </w:tc>
        <w:tc>
          <w:tcPr>
            <w:tcW w:w="2761"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F8CDAC1"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Técnica: EPEAT Gold es el nivel superior del mismo esquema del Global Electronics Council, de carácter multi-fabricante y verificable en su registro público; eleva el estándar ambiental y de eficiencia del parque de 3.500 equipos sin reducir la pluralidad, pues las líneas corporativas de los principales fabricantes registran equipos en categoría Gold.</w:t>
            </w:r>
          </w:p>
          <w:p w14:paraId="19B0FE8C"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Jurídica: criterio ambiental objetivo y neutral frente a marcas, admisible como especificación de calidad (art. 5, Ley 1150 de 2007) y coherente con la política de compras públicas sostenibles.</w:t>
            </w:r>
          </w:p>
        </w:tc>
        <w:tc>
          <w:tcPr>
            <w:tcW w:w="2096" w:type="dxa"/>
            <w:tcBorders>
              <w:top w:val="single" w:sz="4" w:space="0" w:color="999999"/>
              <w:left w:val="single" w:sz="4" w:space="0" w:color="999999"/>
              <w:bottom w:val="single" w:sz="4" w:space="0" w:color="999999"/>
              <w:right w:val="single" w:sz="4" w:space="0" w:color="999999"/>
            </w:tcBorders>
          </w:tcPr>
          <w:p w14:paraId="362211EF"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Se acepta la observación, en el entendido de que se modificará el requerimiento de certificación ambiental de EPEAT Silver a EPEAT Gold, únicamente para los equipos correspondientes a los ítems 1 y 2, que representan el mayor volumen de adquisición dentro del proceso. Esta modificación resulta viable en la medida en que fortalece el cumplimiento de los estándares de normatividad climática y contribuye a la sostenibilidad institucional.</w:t>
            </w:r>
          </w:p>
        </w:tc>
      </w:tr>
      <w:tr w:rsidR="00BE6367" w14:paraId="07A99B1A" w14:textId="77777777">
        <w:tc>
          <w:tcPr>
            <w:tcW w:w="44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8B04537"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t>2</w:t>
            </w:r>
          </w:p>
        </w:tc>
        <w:tc>
          <w:tcPr>
            <w:tcW w:w="217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D5BF15F" w14:textId="77777777" w:rsidR="00BE6367" w:rsidRPr="00AA7016" w:rsidRDefault="00C90F6A">
            <w:pPr>
              <w:spacing w:after="40"/>
              <w:jc w:val="both"/>
              <w:rPr>
                <w:rFonts w:ascii="Arial" w:eastAsia="Arial" w:hAnsi="Arial" w:cs="Arial"/>
                <w:sz w:val="20"/>
                <w:szCs w:val="20"/>
                <w:lang w:val="pt-PT"/>
              </w:rPr>
            </w:pPr>
            <w:r w:rsidRPr="00AA7016">
              <w:rPr>
                <w:rFonts w:ascii="Arial" w:eastAsia="Arial" w:hAnsi="Arial" w:cs="Arial"/>
                <w:sz w:val="20"/>
                <w:szCs w:val="20"/>
                <w:lang w:val="pt-PT"/>
              </w:rPr>
              <w:t>“TDP: Base mínima de 65 Watts.”</w:t>
            </w:r>
          </w:p>
        </w:tc>
        <w:tc>
          <w:tcPr>
            <w:tcW w:w="217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B47B1A9" w14:textId="77777777" w:rsidR="00BE6367" w:rsidRPr="00AA7016" w:rsidRDefault="00C90F6A">
            <w:pPr>
              <w:spacing w:after="40"/>
              <w:jc w:val="both"/>
              <w:rPr>
                <w:rFonts w:ascii="Arial" w:eastAsia="Arial" w:hAnsi="Arial" w:cs="Arial"/>
                <w:sz w:val="20"/>
                <w:szCs w:val="20"/>
                <w:lang w:val="pt-PT"/>
              </w:rPr>
            </w:pPr>
            <w:r w:rsidRPr="00AA7016">
              <w:rPr>
                <w:rFonts w:ascii="Arial" w:eastAsia="Arial" w:hAnsi="Arial" w:cs="Arial"/>
                <w:sz w:val="20"/>
                <w:szCs w:val="20"/>
                <w:lang w:val="pt-PT"/>
              </w:rPr>
              <w:t>“TDP: Base mínima de 35 Watts.”</w:t>
            </w:r>
          </w:p>
        </w:tc>
        <w:tc>
          <w:tcPr>
            <w:tcW w:w="2761"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8778CD2"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Técnica: el TDP base es un parámetro de consumo térmico, no de desempeño; el desempeño mínimo ya está garantizado por el propio pliego mediante el benchmark PCMark 10 con puntaje mínimo de 6.200. Admitir desde 35 W habilita las variantes eficientes de las mismas familias de procesadores y plataformas adicionales, reduce el consumo eléctrico y la disipación de calor de 3.500 equipos, en coherencia con las certificaciones Energy Star y EPEAT ya exigidas.</w:t>
            </w:r>
          </w:p>
          <w:p w14:paraId="6D620178"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Jurídica: elimina un umbral que replica la hoja de datos de una referencia específica y amplía el universo de </w:t>
            </w:r>
            <w:r>
              <w:rPr>
                <w:rFonts w:ascii="Arial" w:eastAsia="Arial" w:hAnsi="Arial" w:cs="Arial"/>
                <w:sz w:val="20"/>
                <w:szCs w:val="20"/>
              </w:rPr>
              <w:lastRenderedPageBreak/>
              <w:t>configuraciones y oferentes (art. 24-5, Ley 80 de 1993).</w:t>
            </w:r>
          </w:p>
        </w:tc>
        <w:tc>
          <w:tcPr>
            <w:tcW w:w="2096" w:type="dxa"/>
            <w:tcBorders>
              <w:top w:val="single" w:sz="4" w:space="0" w:color="999999"/>
              <w:left w:val="single" w:sz="4" w:space="0" w:color="999999"/>
              <w:bottom w:val="single" w:sz="4" w:space="0" w:color="999999"/>
              <w:right w:val="single" w:sz="4" w:space="0" w:color="999999"/>
            </w:tcBorders>
          </w:tcPr>
          <w:p w14:paraId="63DF46BD"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lastRenderedPageBreak/>
              <w:t xml:space="preserve">No se acoge la observación. La exigencia de un TDP base mínimo de 65W corresponde a los parámetros mínimos definidos en la ficha técnica, establecidos para garantizar la capacidad térmica y energética necesaria en los equipos, asegurando así el nivel de desempeño requerido por la Entidad en las labores de los usuarios. En consecuencia, se mantiene la especificación en los términos establecidos, admitiéndose únicamente </w:t>
            </w:r>
            <w:r>
              <w:rPr>
                <w:rFonts w:ascii="Arial" w:eastAsia="Arial" w:hAnsi="Arial" w:cs="Arial"/>
                <w:sz w:val="20"/>
                <w:szCs w:val="20"/>
              </w:rPr>
              <w:lastRenderedPageBreak/>
              <w:t>configuraciones que cumplan o superen dicho umbral mínimo.</w:t>
            </w:r>
          </w:p>
        </w:tc>
      </w:tr>
      <w:tr w:rsidR="00BE6367" w14:paraId="3CDC344B" w14:textId="77777777">
        <w:tc>
          <w:tcPr>
            <w:tcW w:w="44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0AFF124"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lastRenderedPageBreak/>
              <w:t>3</w:t>
            </w:r>
          </w:p>
        </w:tc>
        <w:tc>
          <w:tcPr>
            <w:tcW w:w="217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8C2AA80"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Memoria RAM: “16 GB, DDR5, mínimo 6400 MT/s con capacidad de expansión a 64GB”.</w:t>
            </w:r>
          </w:p>
        </w:tc>
        <w:tc>
          <w:tcPr>
            <w:tcW w:w="217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F13C1B8"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Memoria RAM: 16 GB DDR5 a mínimo 5.600 MT/s, con capacidad de expansión a 64 GB.</w:t>
            </w:r>
          </w:p>
        </w:tc>
        <w:tc>
          <w:tcPr>
            <w:tcW w:w="2761"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3FBAC26"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Técnica: 5.600 MT/s es la velocidad estándar JEDEC de adopción transversal en las líneas corporativas del mercado; la exigencia de 6.400 MT/s coincide con la configuración publicada de un modelo particular y su impacto en cargas ofimáticas es marginal, quedando el desempeño salvaguardado por el benchmark exigido.</w:t>
            </w:r>
          </w:p>
          <w:p w14:paraId="490814D5"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Jurídica: sustituye un parámetro descriptivo de un producto singular por un estándar abierto de industria, en garantía de la libre concurrencia.</w:t>
            </w:r>
          </w:p>
        </w:tc>
        <w:tc>
          <w:tcPr>
            <w:tcW w:w="2096" w:type="dxa"/>
            <w:tcBorders>
              <w:top w:val="single" w:sz="4" w:space="0" w:color="999999"/>
              <w:left w:val="single" w:sz="4" w:space="0" w:color="999999"/>
              <w:bottom w:val="single" w:sz="4" w:space="0" w:color="999999"/>
              <w:right w:val="single" w:sz="4" w:space="0" w:color="999999"/>
            </w:tcBorders>
          </w:tcPr>
          <w:p w14:paraId="5613FFDA"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No se acoge la observación. La elección de memoria DDR5-6400 MT/s en los equipos All-in-One responde a un objetivo de largo plazo que garantiza un mayor ancho de banda frente a configuraciones de DDR5-5600 MT/s. En términos técnicos, la velocidad de 6400 MT/s representa aproximadamente un 15% más de tasa de transferencia, lo que favorece el movimiento de datos entre CPU y memoria en cargas sensibles al subsistema de memoria.</w:t>
            </w:r>
          </w:p>
          <w:p w14:paraId="584B2B2E"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En la práctica, este beneficio se refleja en escenarios de multitarea intensiva, colaboración con múltiples aplicaciones abiertas, videoconferencias, navegación exigente, analítica ligera y creación de contenido de oficina, donde una memoria más rápida contribuye a una mejor capacidad de respuesta del sistema.</w:t>
            </w:r>
          </w:p>
          <w:p w14:paraId="56C46D82"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La velocidad de operación solicitada garantiza a la Entidad contar con la versión más actualizada </w:t>
            </w:r>
            <w:r>
              <w:rPr>
                <w:rFonts w:ascii="Arial" w:eastAsia="Arial" w:hAnsi="Arial" w:cs="Arial"/>
                <w:sz w:val="20"/>
                <w:szCs w:val="20"/>
              </w:rPr>
              <w:lastRenderedPageBreak/>
              <w:t>disponible en el mercado, lo que brinda seguridad sobre la vigencia tecnológica y confiabilidad de la inversión en el tiempo.</w:t>
            </w:r>
          </w:p>
          <w:p w14:paraId="48AA0059"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En consecuencia, se mantiene el requisito de memoria RAM DDR5 de mínimo 6400 MT/s con capacidad de expansión a 64 GB, considerando que esta especificación corresponde al nivel de desempeño esperado para el perfil de equipo requerido y resulta acorde con las plataformas tecnológicas de última generación disponibles en este segmento.</w:t>
            </w:r>
          </w:p>
        </w:tc>
      </w:tr>
      <w:tr w:rsidR="00BE6367" w14:paraId="0D3BDBCA" w14:textId="77777777">
        <w:tc>
          <w:tcPr>
            <w:tcW w:w="44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6CEF28B"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lastRenderedPageBreak/>
              <w:t>4</w:t>
            </w:r>
          </w:p>
        </w:tc>
        <w:tc>
          <w:tcPr>
            <w:tcW w:w="217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C3B9B69"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Cámara web y micrófono integrados: “Cámara web mínimo FHD (1920x1080) con HDR”.</w:t>
            </w:r>
          </w:p>
        </w:tc>
        <w:tc>
          <w:tcPr>
            <w:tcW w:w="217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5C5C79E"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Solicitar cámara web 5MP integrada.</w:t>
            </w:r>
          </w:p>
        </w:tc>
        <w:tc>
          <w:tcPr>
            <w:tcW w:w="2761"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F879BEB" w14:textId="77777777" w:rsidR="00BE6367" w:rsidRDefault="00000000">
            <w:pPr>
              <w:spacing w:after="40"/>
              <w:jc w:val="both"/>
              <w:rPr>
                <w:rFonts w:ascii="Arial" w:eastAsia="Arial" w:hAnsi="Arial" w:cs="Arial"/>
                <w:sz w:val="20"/>
                <w:szCs w:val="20"/>
              </w:rPr>
            </w:pPr>
            <w:sdt>
              <w:sdtPr>
                <w:tag w:val="goog_rdk_3"/>
                <w:id w:val="-1158103801"/>
              </w:sdtPr>
              <w:sdtContent>
                <w:r w:rsidR="00C90F6A">
                  <w:rPr>
                    <w:rFonts w:ascii="Arial Unicode MS" w:eastAsia="Arial Unicode MS" w:hAnsi="Arial Unicode MS" w:cs="Arial Unicode MS"/>
                    <w:sz w:val="20"/>
                    <w:szCs w:val="20"/>
                  </w:rPr>
                  <w:t>Técnica: una cámara de 5 MP supera la resolución FHD (≈2 MP) y mejora objetivamente la calidad de videoconferencia, uso intensivo en la Entidad; los AIO corporativos de múltiples fabricantes ofrecen módulos de 5 MP integrados.</w:t>
                </w:r>
              </w:sdtContent>
            </w:sdt>
          </w:p>
          <w:p w14:paraId="60753D97"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Jurídica: criterio funcional objetivo, medible y multi-marca, que eleva la calidad sin restringir la participación.</w:t>
            </w:r>
          </w:p>
        </w:tc>
        <w:tc>
          <w:tcPr>
            <w:tcW w:w="2096" w:type="dxa"/>
            <w:tcBorders>
              <w:top w:val="single" w:sz="4" w:space="0" w:color="999999"/>
              <w:left w:val="single" w:sz="4" w:space="0" w:color="999999"/>
              <w:bottom w:val="single" w:sz="4" w:space="0" w:color="999999"/>
              <w:right w:val="single" w:sz="4" w:space="0" w:color="999999"/>
            </w:tcBorders>
          </w:tcPr>
          <w:p w14:paraId="0CC8C50B"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No se acoge la observación. La exigencia de contar con una cámara web mínima FHD (1920x1080) con HDR corresponde a los parámetros mínimos definidos en la ficha técnica para garantizar la calidad requerida en las labores de videoconferencia y comunicación de los usuarios de la Entidad. Se precisa que podrán admitirse equipos con cámaras de especificaciones superiores, siempre que cumplan con dicho umbral mínimo establecido.</w:t>
            </w:r>
          </w:p>
        </w:tc>
      </w:tr>
      <w:tr w:rsidR="00BE6367" w14:paraId="12B55B68" w14:textId="77777777">
        <w:tc>
          <w:tcPr>
            <w:tcW w:w="44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C6B8EFA"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lastRenderedPageBreak/>
              <w:t>5</w:t>
            </w:r>
          </w:p>
        </w:tc>
        <w:tc>
          <w:tcPr>
            <w:tcW w:w="217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558E84F"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Puertos USB: “1 USB-C 3.2 gen 2 integrados / 1 USB-C 3.2 Gen 2x2 de 20Gbps / 2 USB-A de 10Gbps y 2 USB-A de 5Gbps o 4 USB-A 3.2 Gen 2 de 10GBps / Deben quedar 4 puertos libres después de conexión de teclado y mouse”.</w:t>
            </w:r>
          </w:p>
        </w:tc>
        <w:tc>
          <w:tcPr>
            <w:tcW w:w="217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ED4F038"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Puertos USB: 1 USB-C 3.2 gen 2 integrado; 2 USB-A de 10Gbps y 2 USB-A de 5Gbps; deben quedar 4 puertos libres después de conexión de teclado y mouse.</w:t>
            </w:r>
          </w:p>
        </w:tc>
        <w:tc>
          <w:tcPr>
            <w:tcW w:w="2761"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A108629"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Técnica: se elimina el puerto USB-C 3.2 Gen 2x2 (20 Gbps), interfaz de adopción limitada en AIO corporativos cuya exigencia coincide con un único modelo del mercado; el conjunto solicitado conserva la conectividad de alta velocidad (10 Gbps) y la disponibilidad de cuatro puertos libres para el usuario.</w:t>
            </w:r>
          </w:p>
          <w:p w14:paraId="46F7A95D"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Jurídica: remueve el elemento determinante del direccionamiento hacia un modelo específico sin sacrificar funcionalidad.</w:t>
            </w:r>
          </w:p>
        </w:tc>
        <w:tc>
          <w:tcPr>
            <w:tcW w:w="2096" w:type="dxa"/>
            <w:tcBorders>
              <w:top w:val="single" w:sz="4" w:space="0" w:color="999999"/>
              <w:left w:val="single" w:sz="4" w:space="0" w:color="999999"/>
              <w:bottom w:val="single" w:sz="4" w:space="0" w:color="999999"/>
              <w:right w:val="single" w:sz="4" w:space="0" w:color="999999"/>
            </w:tcBorders>
          </w:tcPr>
          <w:p w14:paraId="26291FCA"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No se acoge la observación. La exigencia de los puertos USB descritos en la ficha técnica de producto corresponde a los parámetros mínimos requeridos por la Entidad para garantizar la conectividad y disponibilidad necesarias en las labores de los usuarios. Se precisa que podrán admitirse equipos con especificaciones superiores, siempre que cumplan con dicho umbral mínimo establecido.</w:t>
            </w:r>
          </w:p>
        </w:tc>
      </w:tr>
      <w:tr w:rsidR="00BE6367" w14:paraId="52B808B7" w14:textId="77777777">
        <w:tc>
          <w:tcPr>
            <w:tcW w:w="44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2806226"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t>6</w:t>
            </w:r>
          </w:p>
        </w:tc>
        <w:tc>
          <w:tcPr>
            <w:tcW w:w="217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2421C94"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Fuente de poder interna: “Mínima de 240 Watts con certificación 80 plus Platinum” (y Calidad: “Certificación 80 Plus Platinum”).</w:t>
            </w:r>
          </w:p>
        </w:tc>
        <w:tc>
          <w:tcPr>
            <w:tcW w:w="217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D4F2C43"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Fuente de poder Interna o Externa con eficiencia de mínimo 89%. En caso de ser Interna, deberá contar con certificación 80 Plus Gold. (Ajustar en igual sentido la sección “Calidad”).</w:t>
            </w:r>
          </w:p>
        </w:tc>
        <w:tc>
          <w:tcPr>
            <w:tcW w:w="2761"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161DFA8" w14:textId="77777777" w:rsidR="00BE6367" w:rsidRDefault="00000000">
            <w:pPr>
              <w:spacing w:after="40"/>
              <w:jc w:val="both"/>
              <w:rPr>
                <w:rFonts w:ascii="Arial" w:eastAsia="Arial" w:hAnsi="Arial" w:cs="Arial"/>
                <w:sz w:val="20"/>
                <w:szCs w:val="20"/>
              </w:rPr>
            </w:pPr>
            <w:sdt>
              <w:sdtPr>
                <w:tag w:val="goog_rdk_4"/>
                <w:id w:val="-1435201923"/>
              </w:sdtPr>
              <w:sdtContent>
                <w:r w:rsidR="00C90F6A">
                  <w:rPr>
                    <w:rFonts w:ascii="Arial Unicode MS" w:eastAsia="Arial Unicode MS" w:hAnsi="Arial Unicode MS" w:cs="Arial Unicode MS"/>
                    <w:sz w:val="20"/>
                    <w:szCs w:val="20"/>
                  </w:rPr>
                  <w:t>Técnica: los AIO corporativos del mercado emplean indistintamente fuente interna o adaptador externo de alta eficiencia; imponer la topología interna de 240 W con certificación 80 Plus Platinum reproduce el diseño de un modelo particular. El criterio funcional pertinente es la eficiencia de conversión (≥89%), medible y equivalente entre topologías.</w:t>
                </w:r>
              </w:sdtContent>
            </w:sdt>
          </w:p>
          <w:p w14:paraId="62CDF749"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Jurídica: convierte una característica de diseño (excluida por el art. 2.2.1.1.1.3.1 del Decreto 1082 de 2015 como criterio de uniformidad) en un patrón de desempeño objetivo.</w:t>
            </w:r>
          </w:p>
        </w:tc>
        <w:tc>
          <w:tcPr>
            <w:tcW w:w="2096" w:type="dxa"/>
            <w:tcBorders>
              <w:top w:val="single" w:sz="4" w:space="0" w:color="999999"/>
              <w:left w:val="single" w:sz="4" w:space="0" w:color="999999"/>
              <w:bottom w:val="single" w:sz="4" w:space="0" w:color="999999"/>
              <w:right w:val="single" w:sz="4" w:space="0" w:color="999999"/>
            </w:tcBorders>
          </w:tcPr>
          <w:p w14:paraId="1294A1C2"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No se acepta la observación.</w:t>
            </w:r>
          </w:p>
          <w:p w14:paraId="6B0E5B14"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Se mantiene el requisito de fuente de poder interna con capacidad mínima de 240 Watts y certificación 80 PLUS Platinum, considerando que esta configuración proporciona una solución integrada al equipo, disminuyendo la exposición de componentes externos susceptibles de desconexión, pérdida, manipulación o daño durante la operación y el traslado de los equipos.</w:t>
            </w:r>
          </w:p>
          <w:p w14:paraId="20C8F2AC"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Asimismo, una fuente de poder interna contribuye a una mejor gestión del espacio de </w:t>
            </w:r>
            <w:r>
              <w:rPr>
                <w:rFonts w:ascii="Arial" w:eastAsia="Arial" w:hAnsi="Arial" w:cs="Arial"/>
                <w:sz w:val="20"/>
                <w:szCs w:val="20"/>
              </w:rPr>
              <w:lastRenderedPageBreak/>
              <w:t>trabajo, facilita la administración del cableado y reduce puntos adicionales de falla asociados a adaptadores externos, favoreciendo la continuidad operativa del equipo.</w:t>
            </w:r>
          </w:p>
          <w:p w14:paraId="5812733F" w14:textId="77777777" w:rsidR="00BE6367" w:rsidRDefault="00BE6367">
            <w:pPr>
              <w:spacing w:after="40"/>
              <w:jc w:val="both"/>
              <w:rPr>
                <w:rFonts w:ascii="Arial" w:eastAsia="Arial" w:hAnsi="Arial" w:cs="Arial"/>
                <w:sz w:val="20"/>
                <w:szCs w:val="20"/>
              </w:rPr>
            </w:pPr>
          </w:p>
          <w:p w14:paraId="56DC0BA8"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De igual forma, la certificación 80 PLUS Platinum garantiza altos niveles de eficiencia energética, menor generación de calor y un uso más eficiente de la energía durante el ciclo de vida del equipo, razón por la cual se mantienen las especificaciones técnicas definidas para este proceso.</w:t>
            </w:r>
          </w:p>
        </w:tc>
      </w:tr>
      <w:tr w:rsidR="00BE6367" w14:paraId="4004C85C" w14:textId="77777777">
        <w:tc>
          <w:tcPr>
            <w:tcW w:w="44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93348C4"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lastRenderedPageBreak/>
              <w:t>7</w:t>
            </w:r>
          </w:p>
        </w:tc>
        <w:tc>
          <w:tcPr>
            <w:tcW w:w="217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F7B83CF"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Administración de seguridad: “Seguridad con chip TPM, Versión 2.0 o superior, Discreto o físico, el equipo debe permitir administración y gestión remota fuera de banda para integración con EMA”.</w:t>
            </w:r>
          </w:p>
        </w:tc>
        <w:tc>
          <w:tcPr>
            <w:tcW w:w="217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07C78BD"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Administración de seguridad: Seguridad con chip TPM, Versión 2.0 o superior, Discreto, Certificado TCG y FIPS.</w:t>
            </w:r>
          </w:p>
        </w:tc>
        <w:tc>
          <w:tcPr>
            <w:tcW w:w="2761"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230AAA6"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Técnica: la certificación del módulo TPM bajo los programas del TCG (ISO/IEC 11889) y FIPS 140 garantiza el nivel de seguridad criptográfica perseguido mediante estándares abiertos y verificables, independientes del fabricante del procesador. “EMA” (Intel Endpoint Management Assistant) es una herramienta propietaria de Intel cuya exigencia impone la plataforma de un único fabricante de silicio; de requerirse gestión remota, puede exigirse de manera funcional y neutral.</w:t>
            </w:r>
          </w:p>
          <w:p w14:paraId="600F80CA"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Jurídica: elimina la mención de un producto de marca sin fórmula de equivalencia, en </w:t>
            </w:r>
            <w:r>
              <w:rPr>
                <w:rFonts w:ascii="Arial" w:eastAsia="Arial" w:hAnsi="Arial" w:cs="Arial"/>
                <w:sz w:val="20"/>
                <w:szCs w:val="20"/>
              </w:rPr>
              <w:lastRenderedPageBreak/>
              <w:t>cumplimiento del principio de selección objetiva y de la técnica del art. 10 de la Ley Modelo UNCITRAL.</w:t>
            </w:r>
          </w:p>
        </w:tc>
        <w:tc>
          <w:tcPr>
            <w:tcW w:w="2096" w:type="dxa"/>
            <w:tcBorders>
              <w:top w:val="single" w:sz="4" w:space="0" w:color="999999"/>
              <w:left w:val="single" w:sz="4" w:space="0" w:color="999999"/>
              <w:bottom w:val="single" w:sz="4" w:space="0" w:color="999999"/>
              <w:right w:val="single" w:sz="4" w:space="0" w:color="999999"/>
            </w:tcBorders>
          </w:tcPr>
          <w:p w14:paraId="4DCCAC8F"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lastRenderedPageBreak/>
              <w:t xml:space="preserve">No se acoge la observación. La exigencia de contar con chip TPM versión 2.0 o superior, discreto o físico, y administración y gestión remota fuera de banda para integración con EMA corresponde a los parámetros mínimos definidos en la ficha técnica, necesarios para garantizar la seguridad criptográfica, el arranque seguro, la protección de credenciales y la capacidad de administración institucional en escenarios de falla o desconexión, </w:t>
            </w:r>
            <w:r>
              <w:rPr>
                <w:rFonts w:ascii="Arial" w:eastAsia="Arial" w:hAnsi="Arial" w:cs="Arial"/>
                <w:sz w:val="20"/>
                <w:szCs w:val="20"/>
              </w:rPr>
              <w:lastRenderedPageBreak/>
              <w:t>asegurando así la continuidad operativa y la interoperabilidad con las plataformas de gestión establecidas por la Entidad. En consecuencia, se mantiene la especificación en los términos establecidos, admitiéndose únicamente configuraciones que cumplan o superen dicho umbral mínimo.</w:t>
            </w:r>
          </w:p>
        </w:tc>
      </w:tr>
    </w:tbl>
    <w:p w14:paraId="1287462B" w14:textId="77777777" w:rsidR="00BE6367" w:rsidRDefault="00BE6367">
      <w:pPr>
        <w:spacing w:line="276" w:lineRule="auto"/>
        <w:jc w:val="both"/>
        <w:rPr>
          <w:rFonts w:ascii="Arial" w:eastAsia="Arial" w:hAnsi="Arial" w:cs="Arial"/>
          <w:sz w:val="20"/>
          <w:szCs w:val="20"/>
        </w:rPr>
      </w:pPr>
    </w:p>
    <w:p w14:paraId="6A9BA3CE" w14:textId="77777777" w:rsidR="00BE6367" w:rsidRDefault="00C90F6A">
      <w:pPr>
        <w:spacing w:line="276" w:lineRule="auto"/>
        <w:jc w:val="both"/>
        <w:rPr>
          <w:rFonts w:ascii="Arial" w:eastAsia="Arial" w:hAnsi="Arial" w:cs="Arial"/>
          <w:sz w:val="20"/>
          <w:szCs w:val="20"/>
        </w:rPr>
      </w:pPr>
      <w:r>
        <w:rPr>
          <w:rFonts w:ascii="Arial" w:eastAsia="Arial" w:hAnsi="Arial" w:cs="Arial"/>
          <w:b/>
          <w:bCs/>
          <w:sz w:val="20"/>
          <w:szCs w:val="20"/>
        </w:rPr>
        <w:t>ÍTEM 2 – COMPUTADOR DE ESCRITORIO WORKSTATION (23 unidades):</w:t>
      </w:r>
    </w:p>
    <w:tbl>
      <w:tblPr>
        <w:tblStyle w:val="af6"/>
        <w:tblW w:w="96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3"/>
        <w:gridCol w:w="2128"/>
        <w:gridCol w:w="2185"/>
        <w:gridCol w:w="2780"/>
        <w:gridCol w:w="2108"/>
      </w:tblGrid>
      <w:tr w:rsidR="00BE6367" w14:paraId="0B991822" w14:textId="77777777">
        <w:trPr>
          <w:tblHeader/>
        </w:trPr>
        <w:tc>
          <w:tcPr>
            <w:tcW w:w="443" w:type="dxa"/>
            <w:tcBorders>
              <w:top w:val="single" w:sz="4" w:space="0" w:color="999999"/>
              <w:left w:val="single" w:sz="4" w:space="0" w:color="999999"/>
              <w:bottom w:val="single" w:sz="4" w:space="0" w:color="999999"/>
              <w:right w:val="single" w:sz="4" w:space="0" w:color="999999"/>
            </w:tcBorders>
            <w:shd w:val="clear" w:color="auto" w:fill="D9D9D9"/>
            <w:tcMar>
              <w:top w:w="80" w:type="dxa"/>
              <w:left w:w="120" w:type="dxa"/>
              <w:bottom w:w="80" w:type="dxa"/>
              <w:right w:w="120" w:type="dxa"/>
            </w:tcMar>
          </w:tcPr>
          <w:p w14:paraId="6FE7FAE9"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t>N°</w:t>
            </w:r>
          </w:p>
        </w:tc>
        <w:tc>
          <w:tcPr>
            <w:tcW w:w="2128" w:type="dxa"/>
            <w:tcBorders>
              <w:top w:val="single" w:sz="4" w:space="0" w:color="999999"/>
              <w:left w:val="single" w:sz="4" w:space="0" w:color="999999"/>
              <w:bottom w:val="single" w:sz="4" w:space="0" w:color="999999"/>
              <w:right w:val="single" w:sz="4" w:space="0" w:color="999999"/>
            </w:tcBorders>
            <w:shd w:val="clear" w:color="auto" w:fill="D9D9D9"/>
            <w:tcMar>
              <w:top w:w="80" w:type="dxa"/>
              <w:left w:w="120" w:type="dxa"/>
              <w:bottom w:w="80" w:type="dxa"/>
              <w:right w:w="120" w:type="dxa"/>
            </w:tcMar>
          </w:tcPr>
          <w:p w14:paraId="3191BE1F"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t>REQUISITO ACTUAL (texto de la FTP)</w:t>
            </w:r>
          </w:p>
        </w:tc>
        <w:tc>
          <w:tcPr>
            <w:tcW w:w="2185" w:type="dxa"/>
            <w:tcBorders>
              <w:top w:val="single" w:sz="4" w:space="0" w:color="999999"/>
              <w:left w:val="single" w:sz="4" w:space="0" w:color="999999"/>
              <w:bottom w:val="single" w:sz="4" w:space="0" w:color="999999"/>
              <w:right w:val="single" w:sz="4" w:space="0" w:color="999999"/>
            </w:tcBorders>
            <w:shd w:val="clear" w:color="auto" w:fill="D9D9D9"/>
            <w:tcMar>
              <w:top w:w="80" w:type="dxa"/>
              <w:left w:w="120" w:type="dxa"/>
              <w:bottom w:w="80" w:type="dxa"/>
              <w:right w:w="120" w:type="dxa"/>
            </w:tcMar>
          </w:tcPr>
          <w:p w14:paraId="3F37804E"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t>AJUSTE SOLICITADO</w:t>
            </w:r>
          </w:p>
        </w:tc>
        <w:tc>
          <w:tcPr>
            <w:tcW w:w="2780" w:type="dxa"/>
            <w:tcBorders>
              <w:top w:val="single" w:sz="4" w:space="0" w:color="999999"/>
              <w:left w:val="single" w:sz="4" w:space="0" w:color="999999"/>
              <w:bottom w:val="single" w:sz="4" w:space="0" w:color="999999"/>
              <w:right w:val="single" w:sz="4" w:space="0" w:color="999999"/>
            </w:tcBorders>
            <w:shd w:val="clear" w:color="auto" w:fill="D9D9D9"/>
            <w:tcMar>
              <w:top w:w="80" w:type="dxa"/>
              <w:left w:w="120" w:type="dxa"/>
              <w:bottom w:w="80" w:type="dxa"/>
              <w:right w:w="120" w:type="dxa"/>
            </w:tcMar>
          </w:tcPr>
          <w:p w14:paraId="4F421065"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t>MOTIVACIÓN TÉCNICA Y JURÍDICA</w:t>
            </w:r>
          </w:p>
        </w:tc>
        <w:tc>
          <w:tcPr>
            <w:tcW w:w="2108" w:type="dxa"/>
            <w:tcBorders>
              <w:top w:val="single" w:sz="4" w:space="0" w:color="999999"/>
              <w:left w:val="single" w:sz="4" w:space="0" w:color="999999"/>
              <w:bottom w:val="single" w:sz="4" w:space="0" w:color="999999"/>
              <w:right w:val="single" w:sz="4" w:space="0" w:color="999999"/>
            </w:tcBorders>
            <w:shd w:val="clear" w:color="auto" w:fill="D9D9D9"/>
          </w:tcPr>
          <w:p w14:paraId="347BC749" w14:textId="77777777" w:rsidR="00BE6367" w:rsidRDefault="00C90F6A">
            <w:pPr>
              <w:spacing w:after="40"/>
              <w:jc w:val="both"/>
              <w:rPr>
                <w:rFonts w:ascii="Arial" w:eastAsia="Arial" w:hAnsi="Arial" w:cs="Arial"/>
                <w:b/>
                <w:bCs/>
                <w:sz w:val="20"/>
                <w:szCs w:val="20"/>
              </w:rPr>
            </w:pPr>
            <w:r>
              <w:rPr>
                <w:rFonts w:ascii="Arial" w:eastAsia="Arial" w:hAnsi="Arial" w:cs="Arial"/>
                <w:b/>
                <w:bCs/>
                <w:sz w:val="20"/>
                <w:szCs w:val="20"/>
              </w:rPr>
              <w:t>Respuestas</w:t>
            </w:r>
          </w:p>
        </w:tc>
      </w:tr>
      <w:tr w:rsidR="00BE6367" w14:paraId="4E5A501B" w14:textId="77777777">
        <w:tc>
          <w:tcPr>
            <w:tcW w:w="44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B3F9750"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t>1</w:t>
            </w:r>
          </w:p>
        </w:tc>
        <w:tc>
          <w:tcPr>
            <w:tcW w:w="212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19C8C11"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Pantalla: 2 monitores de mínimo 27” con panel “IPS Black”, DP 1.4 de entrada y salida, Thunderbolt 4 upstream con PD hasta 140W y downstream, HDMI 2.1 (4K 120Hz), DCI-P3 99%, KVM integrado. “Cantidad de Pantallas: 46”.</w:t>
            </w:r>
          </w:p>
        </w:tc>
        <w:tc>
          <w:tcPr>
            <w:tcW w:w="218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DB61DE7" w14:textId="77777777" w:rsidR="00BE6367" w:rsidRDefault="00000000">
            <w:pPr>
              <w:spacing w:after="40"/>
              <w:jc w:val="both"/>
              <w:rPr>
                <w:rFonts w:ascii="Arial" w:eastAsia="Arial" w:hAnsi="Arial" w:cs="Arial"/>
                <w:sz w:val="20"/>
                <w:szCs w:val="20"/>
              </w:rPr>
            </w:pPr>
            <w:sdt>
              <w:sdtPr>
                <w:tag w:val="goog_rdk_5"/>
                <w:id w:val="784066844"/>
              </w:sdtPr>
              <w:sdtContent>
                <w:r w:rsidR="00C90F6A">
                  <w:rPr>
                    <w:rFonts w:ascii="Arial Unicode MS" w:eastAsia="Arial Unicode MS" w:hAnsi="Arial Unicode MS" w:cs="Arial Unicode MS"/>
                    <w:sz w:val="20"/>
                    <w:szCs w:val="20"/>
                  </w:rPr>
                  <w:t>2 monitores de 27” mínimo por cada Workstation. Resolución: 4K UHD 3840 x 2160. Panel: IPS (178°/178° de ángulos de visión). 1x DisplayPort 1.4. 1x HDMI 2.1 (hasta 3840x2160). Profundidad de color 10 bits: 1.07 billones de colores (8-bit + FRC → 10 bits efectivos). Cobertura de Color: 99% sRGB. Debe contar con al menos 4 puertos USB y capacidad de carga de mínimo 100W. Cantidad de Pantallas: 40.</w:t>
                </w:r>
              </w:sdtContent>
            </w:sdt>
          </w:p>
        </w:tc>
        <w:tc>
          <w:tcPr>
            <w:tcW w:w="27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EA5E376"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Técnica: se elimina la denominación comercial “IPS Black” y los rasgos que en conjunto identifican una única línea de producto (Thunderbolt con 140 W, KVM, DP de entrada y salida en cadena); el panel IPS 4K con 99% sRGB, hub USB y carga de 100 W por USB-C es una configuración transversal disponible en monitores profesionales de múltiples fabricantes. Nota: se sugiere a la Entidad armonizar la cantidad total de pantallas con el número de estaciones adquiridas (23 estaciones × 2 monitores = 46) o precisar el criterio de la cantidad solicitada.</w:t>
            </w:r>
          </w:p>
          <w:p w14:paraId="5D13F6B7"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Jurídica: sustituye características descriptivas de un modelo por patrones de desempeño objetivos </w:t>
            </w:r>
            <w:r>
              <w:rPr>
                <w:rFonts w:ascii="Arial" w:eastAsia="Arial" w:hAnsi="Arial" w:cs="Arial"/>
                <w:sz w:val="20"/>
                <w:szCs w:val="20"/>
              </w:rPr>
              <w:lastRenderedPageBreak/>
              <w:t>(Decreto 1082 de 2015, art. 2.2.1.1.1.3.1).</w:t>
            </w:r>
          </w:p>
        </w:tc>
        <w:tc>
          <w:tcPr>
            <w:tcW w:w="2108" w:type="dxa"/>
            <w:tcBorders>
              <w:top w:val="single" w:sz="4" w:space="0" w:color="999999"/>
              <w:left w:val="single" w:sz="4" w:space="0" w:color="999999"/>
              <w:bottom w:val="single" w:sz="4" w:space="0" w:color="999999"/>
              <w:right w:val="single" w:sz="4" w:space="0" w:color="999999"/>
            </w:tcBorders>
          </w:tcPr>
          <w:p w14:paraId="61ECA3F1"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lastRenderedPageBreak/>
              <w:t xml:space="preserve">No se acoge la observación en su totalidad y se mantienen incólumes las especificaciones originales de los 46 monitores, por cuanto: (i) la tecnología "IPS Black" no constituye una marca exclusiva de un solo fabricante de monitores terminados, sino un estándar de panel licenciado y ofrecido por múltiples marcas del mercado, por lo que su exigencia no restringe la competencia; (ii) el conjunto de especificaciones (Thunderbolt 4 con PD de 140 W, KVM integrado y DisplayPort 1.4 con entrada y salida en cadena) no es un </w:t>
            </w:r>
            <w:r>
              <w:rPr>
                <w:rFonts w:ascii="Arial" w:eastAsia="Arial" w:hAnsi="Arial" w:cs="Arial"/>
                <w:sz w:val="20"/>
                <w:szCs w:val="20"/>
              </w:rPr>
              <w:lastRenderedPageBreak/>
              <w:t>diseño único de producto, sino una configuración funcional y objetiva que responde a necesidades operativas específicas  y que se encuentra disponibles en el mercado, sin que en la ficha técnica de producto se mencione ninguna marca en particular; (iii) la cita del Decreto 1082 de 2015 resulta improcedente, dado que las características exigidas son patrones de desempeño medibles (resolución 4K, 10 bits, 99% DCI-P3, potencia de carga y puertos) y no denominaciones comerciales subjetivas; y (iv) la cantidad solicitada es matemáticamente correcta (23 estaciones × 2 monitores = 46 unidades), siendo la referencia a 40 unidades un error material ajeno a la necesidad real, por lo que se ratifica que la Entidad debe adquirir 46 pantallas con todas las prestaciones técnicas originalmente definidas, dos (2) por cada Workstation.</w:t>
            </w:r>
          </w:p>
        </w:tc>
      </w:tr>
      <w:tr w:rsidR="00BE6367" w14:paraId="49D5A660" w14:textId="77777777">
        <w:tc>
          <w:tcPr>
            <w:tcW w:w="44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9C009CD"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lastRenderedPageBreak/>
              <w:t>2</w:t>
            </w:r>
          </w:p>
        </w:tc>
        <w:tc>
          <w:tcPr>
            <w:tcW w:w="212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744F030"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Procesador: “Mínimo 24 núcleos físicos así; 8 núcleos performantes con turbo de mínimo 5.5 a 5.7 Ghz y 16 núcleos eficientes </w:t>
            </w:r>
            <w:r>
              <w:rPr>
                <w:rFonts w:ascii="Arial" w:eastAsia="Arial" w:hAnsi="Arial" w:cs="Arial"/>
                <w:sz w:val="20"/>
                <w:szCs w:val="20"/>
              </w:rPr>
              <w:lastRenderedPageBreak/>
              <w:t>con turbo de mínimo 4.6 Ghz / Hilos: 24 hilos de ejecución / Memoria Caché: Nivel 2 a 40 Mb y Smart a 36 Mb / NPU de mínimo 13 TOPS / TDP: Base mínima de 125 watts”.</w:t>
            </w:r>
          </w:p>
        </w:tc>
        <w:tc>
          <w:tcPr>
            <w:tcW w:w="218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ABF3EE0"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lastRenderedPageBreak/>
              <w:t xml:space="preserve">Unidad Central de Procesamiento (CPU). Arquitectura: Procesador de máxima densidad para estaciones de trabajo de misión </w:t>
            </w:r>
            <w:r>
              <w:rPr>
                <w:rFonts w:ascii="Arial" w:eastAsia="Arial" w:hAnsi="Arial" w:cs="Arial"/>
                <w:sz w:val="20"/>
                <w:szCs w:val="20"/>
              </w:rPr>
              <w:lastRenderedPageBreak/>
              <w:t>crítica. Núcleos: Mínimo 16 núcleos físicos con turbo de mínimo 4.8GHz. Hilos: 32 hilos de ejecución. Memoria Caché: mínimo 72MB (L2+L3). Soporte para hasta 128 GB de memoria RAM DDR5 ECC. TDP: Base mínima de 170 watts.</w:t>
            </w:r>
          </w:p>
        </w:tc>
        <w:tc>
          <w:tcPr>
            <w:tcW w:w="27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5DBDE41" w14:textId="77777777" w:rsidR="00BE6367" w:rsidRDefault="00000000">
            <w:pPr>
              <w:spacing w:after="40"/>
              <w:jc w:val="both"/>
              <w:rPr>
                <w:rFonts w:ascii="Arial" w:eastAsia="Arial" w:hAnsi="Arial" w:cs="Arial"/>
                <w:sz w:val="20"/>
                <w:szCs w:val="20"/>
              </w:rPr>
            </w:pPr>
            <w:sdt>
              <w:sdtPr>
                <w:tag w:val="goog_rdk_6"/>
                <w:id w:val="2026443317"/>
              </w:sdtPr>
              <w:sdtContent>
                <w:r w:rsidR="00C90F6A">
                  <w:rPr>
                    <w:rFonts w:ascii="Arial Unicode MS" w:eastAsia="Arial Unicode MS" w:hAnsi="Arial Unicode MS" w:cs="Arial Unicode MS"/>
                    <w:sz w:val="20"/>
                    <w:szCs w:val="20"/>
                  </w:rPr>
                  <w:t xml:space="preserve">Técnica: la redacción actual reproduce, valor por valor, la hoja de datos del Intel Core Ultra 9 285K (incluida la denominación comercial “Smart Cache”) y, al fijar 24 núcleos = 24 hilos, excluye </w:t>
                </w:r>
                <w:r w:rsidR="00C90F6A">
                  <w:rPr>
                    <w:rFonts w:ascii="Arial Unicode MS" w:eastAsia="Arial Unicode MS" w:hAnsi="Arial Unicode MS" w:cs="Arial Unicode MS"/>
                    <w:sz w:val="20"/>
                    <w:szCs w:val="20"/>
                  </w:rPr>
                  <w:lastRenderedPageBreak/>
                  <w:t>toda arquitectura con multihilo simultáneo (SMT). La redacción solicitada —16 núcleos/32 hilos, caché agregada de mínimo 72 MB (L2+L3), turbo ≥4,8 GHz y TDP base ≥170 W— define la capacidad de cómputo en términos funcionales y permite concurrir al menos a dos plataformas (p. ej., AMD Ryzen 9 9950X: 16 núcleos/32 hilos, 80 MB de caché total, TDP 170 W; y procesadores Intel Xeon W para estaciones de trabajo), preservando el desempeño para IA, Big Data y ETL, que además queda asegurado por los benchmarks (PassMark, Cinebench, SPECviewperf) que la propia ficha contempla.</w:t>
                </w:r>
              </w:sdtContent>
            </w:sdt>
          </w:p>
          <w:p w14:paraId="3EEA5D5F"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Jurídica: elimina la transcripción de un SKU único y la denominación comercial de un fabricante (arts. 24-5 Ley 80 de 1993 y 5 Ley 1150 de 2007).</w:t>
            </w:r>
          </w:p>
        </w:tc>
        <w:tc>
          <w:tcPr>
            <w:tcW w:w="2108" w:type="dxa"/>
            <w:tcBorders>
              <w:top w:val="single" w:sz="4" w:space="0" w:color="999999"/>
              <w:left w:val="single" w:sz="4" w:space="0" w:color="999999"/>
              <w:bottom w:val="single" w:sz="4" w:space="0" w:color="999999"/>
              <w:right w:val="single" w:sz="4" w:space="0" w:color="999999"/>
            </w:tcBorders>
          </w:tcPr>
          <w:p w14:paraId="400CE5B8"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lastRenderedPageBreak/>
              <w:t xml:space="preserve">No se acoge la observación. La definición de los parámetros del procesador en la ficha técnica corresponde a especificaciones </w:t>
            </w:r>
            <w:r>
              <w:rPr>
                <w:rFonts w:ascii="Arial" w:eastAsia="Arial" w:hAnsi="Arial" w:cs="Arial"/>
                <w:sz w:val="20"/>
                <w:szCs w:val="20"/>
              </w:rPr>
              <w:lastRenderedPageBreak/>
              <w:t>mínimas de desempeño y capacidad de cómputo, establecidas para garantizar que los equipos cuenten con la potencia, densidad de núcleos, capacidad de procesamiento paralelo, soporte para cargas intensivas y estabilidad térmica requeridas por la Entidad. Dichos valores no constituyen la transcripción de un SKU ni la referencia comercial de un fabricante, sino criterios técnicos funcionales que aseguran la confiabilidad y vigencia tecnológica de las estaciones de trabajo. En consecuencia, se mantienen los términos establecidos, admitiéndose únicamente configuraciones que cumplan o superen estos umbrales mínimos.</w:t>
            </w:r>
          </w:p>
        </w:tc>
      </w:tr>
      <w:tr w:rsidR="00BE6367" w14:paraId="35B978D8" w14:textId="77777777">
        <w:tc>
          <w:tcPr>
            <w:tcW w:w="44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45C853F"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lastRenderedPageBreak/>
              <w:t>3</w:t>
            </w:r>
          </w:p>
        </w:tc>
        <w:tc>
          <w:tcPr>
            <w:tcW w:w="212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C708999"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Teclado: “Teclado gaming mecánico de bajo perfil … Switches: Cherry MX Low Profile Red (lineales) … Iluminación: RGB por tecla, hasta 16,8 millones de colores …”.</w:t>
            </w:r>
          </w:p>
        </w:tc>
        <w:tc>
          <w:tcPr>
            <w:tcW w:w="218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45B5F8A"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Tipo: Teclado tamaño completo con teclado numérico.</w:t>
            </w:r>
          </w:p>
        </w:tc>
        <w:tc>
          <w:tcPr>
            <w:tcW w:w="27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06D0A5F"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Técnica: la ficha actual transcribe la hoja de datos de un teclado “gaming” de consumo, identificando incluso la marca del conmutador (“Cherry MX Low Profile Red”), lo que contradice la exigencia paralela de que el equipo sea de “línea corporativa”; un teclado completo con bloque numérico satisface la necesidad institucional.</w:t>
            </w:r>
          </w:p>
          <w:p w14:paraId="0233C52B"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Jurídica: elimina mención de marca y una especificación </w:t>
            </w:r>
            <w:r>
              <w:rPr>
                <w:rFonts w:ascii="Arial" w:eastAsia="Arial" w:hAnsi="Arial" w:cs="Arial"/>
                <w:sz w:val="20"/>
                <w:szCs w:val="20"/>
              </w:rPr>
              <w:lastRenderedPageBreak/>
              <w:t>de diseño sin relación con la función administrativa del bien.</w:t>
            </w:r>
          </w:p>
        </w:tc>
        <w:tc>
          <w:tcPr>
            <w:tcW w:w="2108" w:type="dxa"/>
            <w:tcBorders>
              <w:top w:val="single" w:sz="4" w:space="0" w:color="999999"/>
              <w:left w:val="single" w:sz="4" w:space="0" w:color="999999"/>
              <w:bottom w:val="single" w:sz="4" w:space="0" w:color="999999"/>
              <w:right w:val="single" w:sz="4" w:space="0" w:color="999999"/>
            </w:tcBorders>
          </w:tcPr>
          <w:p w14:paraId="171FB041"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lastRenderedPageBreak/>
              <w:t xml:space="preserve">Se acepta parcialmente la observación formulada respecto del teclado, exclusivamente en el sentido de suprimir el término "gaming" de la descripción, a fin de evitar cualquier connotación recreativa y alinear el lenguaje con el entorno corporativo. No obstante, se rechaza la eliminación de la </w:t>
            </w:r>
            <w:r>
              <w:rPr>
                <w:rFonts w:ascii="Arial" w:eastAsia="Arial" w:hAnsi="Arial" w:cs="Arial"/>
                <w:sz w:val="20"/>
                <w:szCs w:val="20"/>
              </w:rPr>
              <w:lastRenderedPageBreak/>
              <w:t xml:space="preserve">referencia a los interruptores mecánicos lineales de bajo perfil (Cherry MX Low Profile Red o equivalentes), toda vez que dicha especificación no constituye una restricción a la competencia, pues se trata de un estándar técnico de durabilidad y precisión que puede ser cumplido por múltiples fabricantes de switches y está disponible en teclados de diversas marcas comerciales, el requisito de bloque numérico y tamaño completo se mantiene por razones funcionales. </w:t>
            </w:r>
          </w:p>
        </w:tc>
      </w:tr>
      <w:tr w:rsidR="00BE6367" w14:paraId="3DE6CD56" w14:textId="77777777">
        <w:tc>
          <w:tcPr>
            <w:tcW w:w="44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75DCF09"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lastRenderedPageBreak/>
              <w:t>4</w:t>
            </w:r>
          </w:p>
        </w:tc>
        <w:tc>
          <w:tcPr>
            <w:tcW w:w="212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4DC5A92"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Mouse: “Ratón gaming con cable … 19.000 DPI nativos … hasta 50 G … 1000 Hz … 60 millones de clics …”.</w:t>
            </w:r>
          </w:p>
        </w:tc>
        <w:tc>
          <w:tcPr>
            <w:tcW w:w="218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48B65C3"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Tipo: Ratón con cable USB. Número de botones: 2 botones con scroll. Tecnología de sensor: Óptico.</w:t>
            </w:r>
          </w:p>
        </w:tc>
        <w:tc>
          <w:tcPr>
            <w:tcW w:w="27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2CBB1B3"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Técnica: los parámetros actuales (19.000 DPI, aceleración de 50 G, tasa de sondeo de 1.000 Hz) corresponden a un producto “gaming” específico y carecen de pertinencia para estaciones de trabajo institucionales; el mouse óptico USB de 2 botones con scroll es el estándar corporativo.</w:t>
            </w:r>
          </w:p>
          <w:p w14:paraId="2B6CDAEC"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Jurídica: misma motivación del numeral anterior: especificación funcional, neutral y multi-marca.</w:t>
            </w:r>
          </w:p>
        </w:tc>
        <w:tc>
          <w:tcPr>
            <w:tcW w:w="2108" w:type="dxa"/>
            <w:tcBorders>
              <w:top w:val="single" w:sz="4" w:space="0" w:color="999999"/>
              <w:left w:val="single" w:sz="4" w:space="0" w:color="999999"/>
              <w:bottom w:val="single" w:sz="4" w:space="0" w:color="999999"/>
              <w:right w:val="single" w:sz="4" w:space="0" w:color="999999"/>
            </w:tcBorders>
          </w:tcPr>
          <w:p w14:paraId="0A1760BC"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No se acoge la observación formulada respecto del ratón, manteniéndose incólumes las especificaciones originales (19.000 DPI, 50 G de aceleración, tasa de sondeo de 1.000 Hz y 60 millones de clics), por cuanto dichos parámetros no son privativos del segmento "gaming" ni constituyen una restricción a la competencia, sino que responden a criterios objetivos de durabilidad, precisión y productividad en entornos corporativos de alta exigencia </w:t>
            </w:r>
            <w:r>
              <w:rPr>
                <w:rFonts w:ascii="Arial" w:eastAsia="Arial" w:hAnsi="Arial" w:cs="Arial"/>
                <w:sz w:val="20"/>
                <w:szCs w:val="20"/>
              </w:rPr>
              <w:lastRenderedPageBreak/>
              <w:t>(reducción de fatiga en jornadas prolongadas, menor tasa de errores y mayor vida útil del periférico, lo que disminuye costos de reemplazo). Además, existe una amplia y variada oferta de fabricantes que comercializan ratones con especificaciones, que cumplen e incluso superan holgadamente todas estas prestaciones. Por tanto, la exigencia es plenamente alcanzable por múltiples marcas y no afecta la pluralidad de oferentes, por lo que se desestima la modificación sugerida y se ratifica la ficha técnica del mouse en su totalidad.</w:t>
            </w:r>
          </w:p>
        </w:tc>
      </w:tr>
      <w:tr w:rsidR="00BE6367" w14:paraId="489DEE30" w14:textId="77777777">
        <w:tc>
          <w:tcPr>
            <w:tcW w:w="44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A602931"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lastRenderedPageBreak/>
              <w:t>5</w:t>
            </w:r>
          </w:p>
        </w:tc>
        <w:tc>
          <w:tcPr>
            <w:tcW w:w="212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6192B8C"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Fuente de Poder: “Mínimo 1450 Watts con certificación 80 Plus Platinum”.</w:t>
            </w:r>
          </w:p>
        </w:tc>
        <w:tc>
          <w:tcPr>
            <w:tcW w:w="218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EA85F2A"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Fuente de Poder: Mínimo 1000 Watts con certificación 80 Plus Platinum.</w:t>
            </w:r>
          </w:p>
        </w:tc>
        <w:tc>
          <w:tcPr>
            <w:tcW w:w="27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C57CF23" w14:textId="77777777" w:rsidR="00BE6367" w:rsidRDefault="00000000">
            <w:pPr>
              <w:spacing w:after="40"/>
              <w:jc w:val="both"/>
              <w:rPr>
                <w:rFonts w:ascii="Arial" w:eastAsia="Arial" w:hAnsi="Arial" w:cs="Arial"/>
                <w:sz w:val="20"/>
                <w:szCs w:val="20"/>
              </w:rPr>
            </w:pPr>
            <w:sdt>
              <w:sdtPr>
                <w:tag w:val="goog_rdk_7"/>
                <w:id w:val="1615366175"/>
              </w:sdtPr>
              <w:sdtContent>
                <w:r w:rsidR="00C90F6A">
                  <w:rPr>
                    <w:rFonts w:ascii="Arial Unicode MS" w:eastAsia="Arial Unicode MS" w:hAnsi="Arial Unicode MS" w:cs="Arial Unicode MS"/>
                    <w:sz w:val="20"/>
                    <w:szCs w:val="20"/>
                  </w:rPr>
                  <w:t>Técnica: la cifra de 1.450 W coincide con la configuración de un chasis particular; una fuente de 1.000 W 80 Plus Platinum cubre con margen suficiente el consumo del procesador exigido (TDP base ≥170 W) y de la tarjeta gráfica profesional requerida (300 W), y corresponde a configuraciones disponibles en torres workstation de varios fabricantes.</w:t>
                </w:r>
              </w:sdtContent>
            </w:sdt>
          </w:p>
          <w:p w14:paraId="6FB2355F"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Jurídica: ajusta el requisito a la necesidad real (proporcionalidad, art. 5 Ley 1150 de 2007), removiendo un umbral direccionador.</w:t>
            </w:r>
          </w:p>
        </w:tc>
        <w:tc>
          <w:tcPr>
            <w:tcW w:w="2108" w:type="dxa"/>
            <w:tcBorders>
              <w:top w:val="single" w:sz="4" w:space="0" w:color="999999"/>
              <w:left w:val="single" w:sz="4" w:space="0" w:color="999999"/>
              <w:bottom w:val="single" w:sz="4" w:space="0" w:color="999999"/>
              <w:right w:val="single" w:sz="4" w:space="0" w:color="999999"/>
            </w:tcBorders>
          </w:tcPr>
          <w:p w14:paraId="22B67E8A"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No se acoge la observación. La exigencia de una fuente de poder de 1450W en la workstation se sustenta en la necesidad de garantizar capacidad real de vatiaje, escalabilidad futura y estabilidad de la configuración actual. Una workstation orientada a cargas profesionales integra procesadores de alto desempeño, memoria ECC, múltiples unidades de almacenamiento y tarjetas gráficas profesionales que </w:t>
            </w:r>
            <w:r>
              <w:rPr>
                <w:rFonts w:ascii="Arial" w:eastAsia="Arial" w:hAnsi="Arial" w:cs="Arial"/>
                <w:sz w:val="20"/>
                <w:szCs w:val="20"/>
              </w:rPr>
              <w:lastRenderedPageBreak/>
              <w:t>elevan significativamente el consumo energético y generan picos de demanda. En escenarios de uso intensivo, no basta con cubrir el consumo promedio; la fuente debe soportar con holgura los picos transitorios para evitar inestabilidad, reinicios o limitaciones de desempeño.</w:t>
            </w:r>
          </w:p>
          <w:p w14:paraId="4E2145E1"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Asimismo, contar con una fuente de mayor capacidad asegura vigencia tecnológica y escalabilidad, permitiendo ampliaciones de memoria, incorporación de más discos, tarjetas PCIe adicionales o una GPU de mayor consumo sin necesidad de reemplazar el equipo completo, lo que protege la inversión institucional y garantiza continuidad operativa. Una fuente sobredimensionada también trabaja en una zona más cómoda de operación, con menor estrés eléctrico y térmico, favoreciendo la operación continua, la confiabilidad general del sistema y la seguridad, al incluir protecciones contra sobrevoltaje, sobrecorriente, sobretemperatura y cortocircuito.</w:t>
            </w:r>
          </w:p>
          <w:p w14:paraId="6D82A918"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lastRenderedPageBreak/>
              <w:t>En consecuencia, se mantiene el requisito de fuente de poder de 1450W, dado que constituye un parámetro mínimo indispensable para asegurar el rendimiento, la escalabilidad y la confiabilidad de las workstations en los escenarios de uso previstos por la Entidad.</w:t>
            </w:r>
          </w:p>
        </w:tc>
      </w:tr>
      <w:tr w:rsidR="00BE6367" w14:paraId="3A7ABC12" w14:textId="77777777">
        <w:tc>
          <w:tcPr>
            <w:tcW w:w="44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DC773A3"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lastRenderedPageBreak/>
              <w:t>6</w:t>
            </w:r>
          </w:p>
        </w:tc>
        <w:tc>
          <w:tcPr>
            <w:tcW w:w="212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7AC2A01"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Puerto de red: “… 2 puertos de RED así: 1 con velocidad nativo de 2.5GbE y otro de 1 GbE”.</w:t>
            </w:r>
          </w:p>
        </w:tc>
        <w:tc>
          <w:tcPr>
            <w:tcW w:w="218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2D43085"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Tipo: Adaptador de red integrado con conector RJ-45 con velocidad nativa de 2.5GbE.</w:t>
            </w:r>
          </w:p>
        </w:tc>
        <w:tc>
          <w:tcPr>
            <w:tcW w:w="27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1563515"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Técnica: la exigencia simultánea de dos puertos integrados (2.5GbE + 1GbE) es una configuración atípica que coincide con un equipo específico; un puerto RJ-45 de 2.5GbE nativo satisface el requerimiento de conectividad de alto ancho de banda y, de requerirse un segundo puerto, la propia ficha admite tarjeta PCIe dedicada.</w:t>
            </w:r>
          </w:p>
          <w:p w14:paraId="433F4D81"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Jurídica: especificación funcional mínima, abierta a todos los fabricantes.</w:t>
            </w:r>
          </w:p>
        </w:tc>
        <w:tc>
          <w:tcPr>
            <w:tcW w:w="2108" w:type="dxa"/>
            <w:tcBorders>
              <w:top w:val="single" w:sz="4" w:space="0" w:color="999999"/>
              <w:left w:val="single" w:sz="4" w:space="0" w:color="999999"/>
              <w:bottom w:val="single" w:sz="4" w:space="0" w:color="999999"/>
              <w:right w:val="single" w:sz="4" w:space="0" w:color="999999"/>
            </w:tcBorders>
          </w:tcPr>
          <w:p w14:paraId="6E8D36C3"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No se acoge la observación y se mantiene incólume la especificación que exige 2 puertos RJ-45 (uno de 2.5 GbE nativo y otro de 1 GbE), ya sea integrados en la placa base o mediante tarjeta PCIe dedicada, por cuanto dicha configuración dual no es atípica ni restrictiva, sino que responde a necesidades operativas plenamente justificadas en entornos corporativos de alto desempeño, como la segmentación de tráfico entre la red de datos de alta velocidad y la red de administración o respaldo, así como la redundancia activa y el balanceo de carga sin saturación del ancho de banda; además, la propia redacción de la ficha ya contempla la flexibilidad de implementación </w:t>
            </w:r>
            <w:r>
              <w:rPr>
                <w:rFonts w:ascii="Arial" w:eastAsia="Arial" w:hAnsi="Arial" w:cs="Arial"/>
                <w:sz w:val="20"/>
                <w:szCs w:val="20"/>
              </w:rPr>
              <w:lastRenderedPageBreak/>
              <w:t xml:space="preserve">mediante solución integrada o a través de tarjeta PCIe dedicada, lo que amplía significativamente el universo de proveedores y configuraciones posibles. Existe una amplia variedad de fabricantes de estaciones de que ofrecen de serie o como opción configurable esta combinación de puertos, sin que ello implique direccionamiento a un único modelo, e incluso si un oferente no dispusiera de la configuración dual integrada, la alternativa PCIe garantiza que cualquier proponente pueda cumplir cabalmente con la exigencia mediante la adición de una tarjeta de red compatible, asegurando así la pluralidad de oferentes y la libre concurrencia. </w:t>
            </w:r>
          </w:p>
        </w:tc>
      </w:tr>
      <w:tr w:rsidR="00BE6367" w14:paraId="43ECAA04" w14:textId="77777777">
        <w:tc>
          <w:tcPr>
            <w:tcW w:w="44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18DC14E"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lastRenderedPageBreak/>
              <w:t>7</w:t>
            </w:r>
          </w:p>
        </w:tc>
        <w:tc>
          <w:tcPr>
            <w:tcW w:w="212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63D7ABF"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Puertos USB: listado que incluye, entre otros, “1× USB 3.2 Gen 1 Type-A … con carga compartida”, “1× USB-C 3.2 Gen 2 (10 Gb/s)”, “1× USB-C 3.2 Gen 2x2 (20 Gb/s) con carga compartida”, “2× USB 2.0 Type-A”, “2× USB 3.2 Gen 2 Type-A (10 Gb/s)”, “1× </w:t>
            </w:r>
            <w:r>
              <w:rPr>
                <w:rFonts w:ascii="Arial" w:eastAsia="Arial" w:hAnsi="Arial" w:cs="Arial"/>
                <w:sz w:val="20"/>
                <w:szCs w:val="20"/>
              </w:rPr>
              <w:lastRenderedPageBreak/>
              <w:t>USB-C 3.2 Gen 2x2 (20 Gb/s)”.</w:t>
            </w:r>
          </w:p>
        </w:tc>
        <w:tc>
          <w:tcPr>
            <w:tcW w:w="218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F9AA7B5"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lastRenderedPageBreak/>
              <w:t>Puertos USB: 2× USB 3.2 Gen 1 Type-A (5 Gb/s); 1× USB-C 3.2 Gen 2x2 (20 Gb/s) con carga compartida; 2× USB 2.0 Type-A; 2× USB 3.2 Gen 2 Type-A (10 Gb/s).</w:t>
            </w:r>
          </w:p>
        </w:tc>
        <w:tc>
          <w:tcPr>
            <w:tcW w:w="27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B20BF0A"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 xml:space="preserve">Técnica: el listado actual reproduce la distribución exacta de puertos de la hoja de datos de un modelo (incluidos dos puertos USB-C de 20 Gb/s y funciones de carga en posiciones determinadas); el conjunto solicitado conserva la cantidad, las velocidades y la función de carga compartida, en una combinación alcanzable por </w:t>
            </w:r>
            <w:r>
              <w:rPr>
                <w:rFonts w:ascii="Arial" w:eastAsia="Arial" w:hAnsi="Arial" w:cs="Arial"/>
                <w:sz w:val="20"/>
                <w:szCs w:val="20"/>
              </w:rPr>
              <w:lastRenderedPageBreak/>
              <w:t>las torres workstation de distintos fabricantes.</w:t>
            </w:r>
          </w:p>
          <w:p w14:paraId="624DDF3D"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Jurídica: remueve el efecto direccionador manteniendo la funcionalidad exigible.</w:t>
            </w:r>
          </w:p>
        </w:tc>
        <w:tc>
          <w:tcPr>
            <w:tcW w:w="2108" w:type="dxa"/>
            <w:tcBorders>
              <w:top w:val="single" w:sz="4" w:space="0" w:color="999999"/>
              <w:left w:val="single" w:sz="4" w:space="0" w:color="999999"/>
              <w:bottom w:val="single" w:sz="4" w:space="0" w:color="999999"/>
              <w:right w:val="single" w:sz="4" w:space="0" w:color="999999"/>
            </w:tcBorders>
          </w:tcPr>
          <w:p w14:paraId="607A03B2"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lastRenderedPageBreak/>
              <w:t xml:space="preserve">No se acoge la observación, toda vez que los puertos solicitados corresponden a los mínimos requeridos para el adecuado desarrollo de las labores de los usuarios, según lo definido en la ficha técnica. Se precisa que equipos con un mayor número de puertos o con </w:t>
            </w:r>
            <w:r>
              <w:rPr>
                <w:rFonts w:ascii="Arial" w:eastAsia="Arial" w:hAnsi="Arial" w:cs="Arial"/>
                <w:sz w:val="20"/>
                <w:szCs w:val="20"/>
              </w:rPr>
              <w:lastRenderedPageBreak/>
              <w:t>características superiores serán igualmente admitidos, siempre que cumplan con dichos mínimos, garantizando así la funcionalidad, desempeño y vigencia tecnológica del producto.</w:t>
            </w:r>
          </w:p>
        </w:tc>
      </w:tr>
      <w:tr w:rsidR="00BE6367" w14:paraId="103192DE" w14:textId="77777777">
        <w:tc>
          <w:tcPr>
            <w:tcW w:w="44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94339EF"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lastRenderedPageBreak/>
              <w:t>8</w:t>
            </w:r>
          </w:p>
        </w:tc>
        <w:tc>
          <w:tcPr>
            <w:tcW w:w="212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31287E6"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Tarjeta de video: “… Mínimo 48 GB GDDR7 / Ancho de banda: igual o superior a 1.3 Tb/s / ECC … / Mínimo tres (3) puertos DisplayPort 1.4a o superior …”.</w:t>
            </w:r>
          </w:p>
        </w:tc>
        <w:tc>
          <w:tcPr>
            <w:tcW w:w="218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8F468FC"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Tipo de Tarjeta: Gráfica dedicada de clase profesional (Workstation Edition). Referencia Mínima: RTX Pro 5000 Blackwell. Memoria de Video (VRAM): Mínimo 48 GB GDDR7. Corrección de errores: ECC, indispensable para el procesamiento de imágenes satelitales y datasets masivos de la DAE. Salidas de Video: Mínimo tres (3) puertos DisplayPort 1.4a o superior, con soporte nativo para resoluciones 8K a 60Hz o múltiples arreglos 5K/4K.</w:t>
            </w:r>
          </w:p>
        </w:tc>
        <w:tc>
          <w:tcPr>
            <w:tcW w:w="278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36C4AA3" w14:textId="77777777" w:rsidR="00BE6367" w:rsidRDefault="00000000">
            <w:pPr>
              <w:spacing w:after="40"/>
              <w:jc w:val="both"/>
              <w:rPr>
                <w:rFonts w:ascii="Arial" w:eastAsia="Arial" w:hAnsi="Arial" w:cs="Arial"/>
                <w:sz w:val="20"/>
                <w:szCs w:val="20"/>
              </w:rPr>
            </w:pPr>
            <w:sdt>
              <w:sdtPr>
                <w:tag w:val="goog_rdk_8"/>
                <w:id w:val="284182016"/>
              </w:sdtPr>
              <w:sdtContent>
                <w:r w:rsidR="00C90F6A">
                  <w:rPr>
                    <w:rFonts w:ascii="Arial Unicode MS" w:eastAsia="Arial Unicode MS" w:hAnsi="Arial Unicode MS" w:cs="Arial Unicode MS"/>
                    <w:sz w:val="20"/>
                    <w:szCs w:val="20"/>
                  </w:rPr>
                  <w:t>Técnica: se suprime el parámetro de ancho de banda (≥1,3 TB/s) transcrito de la hoja de datos del producto y se declara de manera transparente la referencia que sirve de piso de desempeño, conservando los atributos funcionales críticos (48 GB GDDR7 con ECC y tres salidas DisplayPort).</w:t>
                </w:r>
              </w:sdtContent>
            </w:sdt>
          </w:p>
          <w:p w14:paraId="0C7826CF"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Jurídica: al declararse una “Referencia Mínima” se da transparencia al criterio de comparación; se recomienda acompañarla expresamente de la fórmula “o equivalente o superior”, conforme a la técnica del art. 10 de la Ley Modelo UNCITRAL y a las guías de Colombia Compra Eficiente, para que cualquier producto de igual o mejor desempeño resulte admisible.</w:t>
            </w:r>
          </w:p>
        </w:tc>
        <w:tc>
          <w:tcPr>
            <w:tcW w:w="2108" w:type="dxa"/>
            <w:tcBorders>
              <w:top w:val="single" w:sz="4" w:space="0" w:color="999999"/>
              <w:left w:val="single" w:sz="4" w:space="0" w:color="999999"/>
              <w:bottom w:val="single" w:sz="4" w:space="0" w:color="999999"/>
              <w:right w:val="single" w:sz="4" w:space="0" w:color="999999"/>
            </w:tcBorders>
          </w:tcPr>
          <w:p w14:paraId="787593A2"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En cuanto a la tarjeta gráfica, se precisa que, tal como se indica en la ficha técnica, esta característica corresponde a un requisito mínimo de cumplimiento, y se aceptan especificaciones superiores al mismo. Por ello, no se enfatiza en una marca o modelo específico, sino en el cumplimiento de los parámetros mínimos definidos para garantizar el desempeño requerido por los usuarios y la vigencia tecnológica del equipo.</w:t>
            </w:r>
          </w:p>
          <w:p w14:paraId="51ADB625" w14:textId="77777777" w:rsidR="00BE6367" w:rsidRDefault="00C90F6A">
            <w:pPr>
              <w:spacing w:after="40"/>
              <w:jc w:val="both"/>
              <w:rPr>
                <w:rFonts w:ascii="Arial" w:eastAsia="Arial" w:hAnsi="Arial" w:cs="Arial"/>
                <w:sz w:val="20"/>
                <w:szCs w:val="20"/>
              </w:rPr>
            </w:pPr>
            <w:r>
              <w:rPr>
                <w:rFonts w:ascii="Arial" w:eastAsia="Arial" w:hAnsi="Arial" w:cs="Arial"/>
                <w:sz w:val="20"/>
                <w:szCs w:val="20"/>
              </w:rPr>
              <w:t>En consecuencia, se mantiene la especificación técnica definida en los documentos del proceso, dado que constituye un estándar mínimo necesario para garantizar rendimiento, confiabilidad y continuidad operativa en los escenarios de uso institucional.</w:t>
            </w:r>
          </w:p>
        </w:tc>
      </w:tr>
    </w:tbl>
    <w:p w14:paraId="58DC17ED" w14:textId="77777777" w:rsidR="00BE6367" w:rsidRDefault="00BE6367">
      <w:pPr>
        <w:spacing w:line="276" w:lineRule="auto"/>
        <w:jc w:val="both"/>
        <w:rPr>
          <w:rFonts w:ascii="Arial" w:eastAsia="Arial" w:hAnsi="Arial" w:cs="Arial"/>
          <w:sz w:val="20"/>
          <w:szCs w:val="20"/>
        </w:rPr>
      </w:pPr>
    </w:p>
    <w:p w14:paraId="0E8ED1AB" w14:textId="77777777" w:rsidR="00BE6367" w:rsidRDefault="00000000">
      <w:pPr>
        <w:spacing w:line="276" w:lineRule="auto"/>
        <w:jc w:val="both"/>
        <w:rPr>
          <w:rFonts w:ascii="Arial" w:eastAsia="Arial" w:hAnsi="Arial" w:cs="Arial"/>
          <w:sz w:val="20"/>
          <w:szCs w:val="20"/>
        </w:rPr>
      </w:pPr>
      <w:sdt>
        <w:sdtPr>
          <w:tag w:val="goog_rdk_9"/>
          <w:id w:val="-916596676"/>
        </w:sdtPr>
        <w:sdtContent>
          <w:r w:rsidR="00C90F6A">
            <w:rPr>
              <w:rFonts w:ascii="Arial Unicode MS" w:eastAsia="Arial Unicode MS" w:hAnsi="Arial Unicode MS" w:cs="Arial Unicode MS"/>
              <w:sz w:val="20"/>
              <w:szCs w:val="20"/>
            </w:rPr>
            <w:t>Cierre de la observación: los ajustes anteriores conservan íntegramente el nivel de desempeño y seguridad requerido por la Entidad, los umbrales de benchmark (PCMark 10 ≥ 6.200), las capacidades mínimas de memoria, almacenamiento y video, las certificaciones ambientales y la garantía de tres (3) años permanecen, pero eliminan los parámetros que hoy solo satisface un producto de un fabricante. Con ello, la ficha técnica pasa a describir bienes de características técnicas uniformes en los términos del artículo 2.2.1.1.1.3.1 del Decreto 1082 de 2015, se restablecen las condiciones de selección objetiva del artículo 5 de la Ley 1150 de 2007 y se materializa la libre concurrencia, con el efecto económico esperado de una puja real por precio en el ítem que concentra la mayor parte del presupuesto.</w:t>
          </w:r>
        </w:sdtContent>
      </w:sdt>
    </w:p>
    <w:p w14:paraId="180E362F" w14:textId="77777777" w:rsidR="00BE6367" w:rsidRDefault="00C90F6A">
      <w:pPr>
        <w:pStyle w:val="Heading2"/>
        <w:spacing w:before="260" w:after="160"/>
        <w:jc w:val="both"/>
        <w:rPr>
          <w:rFonts w:ascii="Arial" w:eastAsia="Arial" w:hAnsi="Arial" w:cs="Arial"/>
          <w:sz w:val="20"/>
          <w:szCs w:val="20"/>
        </w:rPr>
      </w:pPr>
      <w:r>
        <w:rPr>
          <w:rFonts w:ascii="Arial" w:eastAsia="Arial" w:hAnsi="Arial" w:cs="Arial"/>
          <w:sz w:val="20"/>
          <w:szCs w:val="20"/>
        </w:rPr>
        <w:t>5.5. Observación No. 14 – Solicitudes generales</w:t>
      </w:r>
    </w:p>
    <w:p w14:paraId="7441713A"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Con fundamento en todo lo anterior, respetuosamente se solicita a la Entidad y a la sociedad comisionista compradora:</w:t>
      </w:r>
    </w:p>
    <w:p w14:paraId="0DA1BB34" w14:textId="77777777" w:rsidR="00BE6367" w:rsidRDefault="00C90F6A">
      <w:pPr>
        <w:numPr>
          <w:ilvl w:val="0"/>
          <w:numId w:val="52"/>
        </w:numPr>
        <w:spacing w:after="100" w:line="276" w:lineRule="auto"/>
        <w:jc w:val="both"/>
        <w:rPr>
          <w:rFonts w:ascii="Arial" w:eastAsia="Arial" w:hAnsi="Arial" w:cs="Arial"/>
          <w:sz w:val="20"/>
          <w:szCs w:val="20"/>
        </w:rPr>
      </w:pPr>
      <w:r>
        <w:rPr>
          <w:rFonts w:ascii="Arial" w:eastAsia="Arial" w:hAnsi="Arial" w:cs="Arial"/>
          <w:sz w:val="20"/>
          <w:szCs w:val="20"/>
        </w:rPr>
        <w:t>Publicar el estudio del sector y el análisis de mercado que soporte que al menos dos (2) fabricantes pueden cumplir integralmente cada ficha técnica de los ítems 1 a 5, o ajustar las especificaciones a parámetros funcionales mínimos verificables (por ejemplo, umbrales de desempeño en benchmarks neutrales como PCMark 10 o PassMark, ya empleados en la propia ficha), admitiendo arquitecturas equivalentes (hilos mayores o iguales a los núcleos, cachés equivalentes, NPU equivalente).</w:t>
      </w:r>
    </w:p>
    <w:p w14:paraId="10977A8F" w14:textId="77777777" w:rsidR="00BE6367" w:rsidRDefault="00C90F6A">
      <w:pPr>
        <w:numPr>
          <w:ilvl w:val="0"/>
          <w:numId w:val="52"/>
        </w:numPr>
        <w:spacing w:after="100" w:line="276" w:lineRule="auto"/>
        <w:jc w:val="both"/>
        <w:rPr>
          <w:rFonts w:ascii="Arial" w:eastAsia="Arial" w:hAnsi="Arial" w:cs="Arial"/>
          <w:sz w:val="20"/>
          <w:szCs w:val="20"/>
        </w:rPr>
      </w:pPr>
      <w:r>
        <w:rPr>
          <w:rFonts w:ascii="Arial" w:eastAsia="Arial" w:hAnsi="Arial" w:cs="Arial"/>
          <w:sz w:val="20"/>
          <w:szCs w:val="20"/>
        </w:rPr>
        <w:t>Eliminar las menciones de marcas y denominaciones comerciales (Intel Wireless, EMA, Magic Keyboard, Magic Mouse, Touch ID, Center Stage, MagSafe, Cherry MX, IPS Black, Negro Espacial) o, de ser estrictamente necesarias, acompañarlas de la expresión “o equivalente” con criterios objetivos de equivalencia.</w:t>
      </w:r>
    </w:p>
    <w:p w14:paraId="1E456A10" w14:textId="77777777" w:rsidR="00BE6367" w:rsidRDefault="00C90F6A">
      <w:pPr>
        <w:numPr>
          <w:ilvl w:val="0"/>
          <w:numId w:val="52"/>
        </w:numPr>
        <w:spacing w:after="100" w:line="276" w:lineRule="auto"/>
        <w:jc w:val="both"/>
        <w:rPr>
          <w:rFonts w:ascii="Arial" w:eastAsia="Arial" w:hAnsi="Arial" w:cs="Arial"/>
          <w:sz w:val="20"/>
          <w:szCs w:val="20"/>
        </w:rPr>
      </w:pPr>
      <w:r>
        <w:rPr>
          <w:rFonts w:ascii="Arial" w:eastAsia="Arial" w:hAnsi="Arial" w:cs="Arial"/>
          <w:sz w:val="20"/>
          <w:szCs w:val="20"/>
        </w:rPr>
        <w:t>Sustituir la exigencia de membresía “Promoter” en el TCG por la exigencia técnica pertinente (TPM 2.0 discreto certificado conforme a ISO/IEC 11889), y eliminarla por completo para monitores, teclados y mouse.</w:t>
      </w:r>
    </w:p>
    <w:p w14:paraId="68029E6F" w14:textId="77777777" w:rsidR="00BE6367" w:rsidRDefault="00C90F6A">
      <w:pPr>
        <w:pStyle w:val="Heading2"/>
        <w:spacing w:before="260" w:after="160"/>
        <w:jc w:val="both"/>
        <w:rPr>
          <w:rFonts w:ascii="Arial" w:eastAsia="Arial" w:hAnsi="Arial" w:cs="Arial"/>
          <w:b/>
          <w:bCs/>
          <w:color w:val="000000"/>
          <w:sz w:val="20"/>
          <w:szCs w:val="20"/>
        </w:rPr>
      </w:pPr>
      <w:bookmarkStart w:id="18" w:name="_heading=h.35e97yjxn7mc" w:colFirst="0" w:colLast="0"/>
      <w:bookmarkEnd w:id="18"/>
      <w:r>
        <w:rPr>
          <w:rFonts w:ascii="Arial" w:eastAsia="Arial" w:hAnsi="Arial" w:cs="Arial"/>
          <w:b/>
          <w:bCs/>
          <w:color w:val="000000"/>
          <w:sz w:val="20"/>
          <w:szCs w:val="20"/>
        </w:rPr>
        <w:t>RESPUESTA A OBSERVACIÓN:</w:t>
      </w:r>
    </w:p>
    <w:p w14:paraId="4784F21F"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Respecto a la observación de publicar el estudio del sector y el análisis de mercado que soporte al menos dos (2) fabricantes que pueden cumplir integralmente cada ficha, la Entidad se permite manifestar al observante que no se acoge la solicitud, toda vez que el ordenamiento jurídico aplicable no establece como requisito para la estructuración de las fichas técnicas ni para la procedencia de la modalidad de selección la obligación de acreditar la existencia de, por lo menos, dos (2) fabricantes o proveedores diferentes para cada ítem. </w:t>
      </w:r>
    </w:p>
    <w:p w14:paraId="52497B62"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La condición de bien de características técnicas uniformes se determina por la posibilidad de establecer especificaciones, condiciones de calidad y patrones mínimos de desempeño objetivos, medibles y verificables, con independencia del diseño o de las características descriptivas de los productos, y no por un número determinado de fabricantes. </w:t>
      </w:r>
    </w:p>
    <w:p w14:paraId="680F3C8F"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En el presente proceso, las especificaciones de los ítems 1 a 5 fueron definidas a partir de las necesidades institucionales, los perfiles de uso, la renovación del parque computacional, la compatibilidad tecnológica, la seguridad, la administración corporativa y el desempeño requerido durante su vida útil, conforme se encuentra sustentado en los estudios y documentos previos y en el análisis del sector. </w:t>
      </w:r>
    </w:p>
    <w:p w14:paraId="2B93319C"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Dichas condiciones pueden ser atendidas por fabricantes, distribuidores, canales autorizados e integradores con presencia en el mercado nacional e internacional, sin que la eventual coincidencia de determinados atributos con referencias comerciales permita concluir, por sí sola, que exista direccionamiento o ausencia de pluralidad de oferentes. </w:t>
      </w:r>
    </w:p>
    <w:p w14:paraId="48E30A95"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 xml:space="preserve">De igual manera, no resulta procedente sustituir las especificaciones establecidas por una metodología basada exclusivamente en resultados de herramientas como PCMark 10 o PassMark, dado que estos indicadores constituyen elementos auxiliares de comparación y no comprenden integralmente las condiciones de arquitectura, seguridad, eficiencia energética, administración, compatibilidad, garantía y soporte requeridas por la Entidad. </w:t>
      </w:r>
    </w:p>
    <w:p w14:paraId="4919D8F6" w14:textId="77777777" w:rsidR="00BE6367" w:rsidRDefault="00C90F6A">
      <w:pPr>
        <w:jc w:val="both"/>
        <w:rPr>
          <w:rFonts w:ascii="Arial" w:eastAsia="Arial" w:hAnsi="Arial" w:cs="Arial"/>
          <w:sz w:val="20"/>
          <w:szCs w:val="20"/>
        </w:rPr>
      </w:pPr>
      <w:r>
        <w:rPr>
          <w:rFonts w:ascii="Arial" w:eastAsia="Arial" w:hAnsi="Arial" w:cs="Arial"/>
          <w:sz w:val="20"/>
          <w:szCs w:val="20"/>
        </w:rPr>
        <w:t>En consecuencia, se mantienen las especificaciones técnicas previstas en la Ficha Técnica de Negociación, sin incorporar la exigencia de identificar dos fabricantes por ítem ni efectuar los ajustes solicitados.</w:t>
      </w:r>
    </w:p>
    <w:p w14:paraId="7FA51F3E" w14:textId="77777777" w:rsidR="00BE6367" w:rsidRDefault="00C90F6A">
      <w:p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De igual forma, No se acoge la observación tendiente a eliminar o condicionar con "o equivalente" de denominaciones y tipo de tecnologias, EMA, Magic Keyboard, Magic Mouse, Touch ID, Center Stage, MagSafe, Cherry MX, IPS Black o Negro Espacial, por cuanto dichos términos no constituyen restricciones a la libre competencia, sino que en su gran mayoría hacen referencia a estándares tecnológicos, protocolos de conectividad, tecnologías de panel o características funcionales ampliamente licenciadas y disponibles en el portafolio de múltiples fabricantes. Adicional, cada una de estas especificaciones está acompañada de parámetros objetivos de desempeño que permiten a cualquier oferente presentar un producto equivalente sin necesidad de que se agregue la expresión "o equivalente", pues la equivalencia ya está definida por el cumplimiento de dichos criterios técnicos. En consecuencia, se ratifican todas las especificaciones en su redacción original, sin que sea necesario modificar ni suprimir las referencias señaladas, toda vez que no afectan la concurrencia ni la objetividad del proceso.</w:t>
      </w:r>
    </w:p>
    <w:p w14:paraId="7CAC9178" w14:textId="77777777" w:rsidR="00BE6367" w:rsidRDefault="00C90F6A">
      <w:p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No se acepta la observación. Los requisitos técnicos y de certificación establecidos constituyen los mínimos necesarios para garantizar la seguridad, confiabilidad y desempeño de los equipos ofertados. La exigencia de que el fabricante sea miembro activo del Trusted Computing Group (TCG) en la categoría Promoter responde a la necesidad de asegurar que los equipos y periféricos (incluidos monitores, teclados y mouse) provengan de fabricantes con participación plena y verificable en el desarrollo de los estándares internacionales de seguridad para plataformas de cómputo.</w:t>
      </w:r>
    </w:p>
    <w:p w14:paraId="0355A3DB" w14:textId="77777777" w:rsidR="00BE6367" w:rsidRDefault="00C90F6A">
      <w:p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Este requisito busca garantizar que los periféricos ofertados sean totalmente compatibles con los equipos principales bajo los mismos parámetros de fabricantes, asegurando uniformidad, interoperabilidad y cumplimiento de las especificaciones técnicas exigidas en el pliego.</w:t>
      </w:r>
    </w:p>
    <w:p w14:paraId="077BB465" w14:textId="77777777" w:rsidR="00BE6367" w:rsidRDefault="00C90F6A">
      <w:p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En consecuencia, únicamente se aceptarán equipos y periféricos cuyos fabricantes acrediten la membresía en la categoría Promoter o superior, condición verificable en el sitio web oficial de Trusted Computing Group. Se aclara además que existe pluralidad de marcas en el mercado que cumplen con este requisito, lo que garantiza la libre concurrencia y la selección objetiva dentro del proceso.</w:t>
      </w:r>
    </w:p>
    <w:p w14:paraId="2FC44422" w14:textId="77777777" w:rsidR="00BE6367" w:rsidRDefault="00C90F6A">
      <w:p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En cuanto a su observación de, Justificar técnicamente o eliminar la exigencia de “ecosistema cerrado y exclusivo de la marca” en los ítems 3 y 5, y las exigencias de “misma marca” entre torre, monitor, cámara y periféricos en el ítem 2. No se acepta la observación. Las especificaciones técnicas definidas para los ítems 3 y 5 corresponden a características funcionales y de desempeño previamente identificadas como necesarias para atender los requerimientos de los usuarios que harán uso de estos equipos, razón por la cual se mantienen las condiciones establecidas en los documentos del proceso.</w:t>
      </w:r>
    </w:p>
    <w:p w14:paraId="1776A418" w14:textId="77777777" w:rsidR="00BE6367" w:rsidRDefault="00C90F6A">
      <w:p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En cuanto al ítem 2, las características requeridas obedecen a la necesidad de mantener homogeneidad tecnológica dentro de la plataforma destinada a este grupo de usuarios, facilitando la administración de los equipos, la interoperabilidad con el ecosistema tecnológico implementado, la estandarización de configuraciones y la optimización de las actividades de soporte y gestión durante la ejecución del contrato.</w:t>
      </w:r>
    </w:p>
    <w:p w14:paraId="3D81FB18" w14:textId="77777777" w:rsidR="00BE6367" w:rsidRDefault="00C90F6A">
      <w:p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lastRenderedPageBreak/>
        <w:t>En consecuencia, las especificaciones técnicas establecidas responden a necesidades funcionales y operativas previamente definidas para cada perfil de usuario, motivo por el cual no se considera procedente modificar los requisitos establecidos.</w:t>
      </w:r>
    </w:p>
    <w:p w14:paraId="3E8AA169" w14:textId="77777777" w:rsidR="00BE6367" w:rsidRDefault="00C90F6A">
      <w:pPr>
        <w:numPr>
          <w:ilvl w:val="0"/>
          <w:numId w:val="52"/>
        </w:numPr>
        <w:spacing w:after="100" w:line="276" w:lineRule="auto"/>
        <w:jc w:val="both"/>
        <w:rPr>
          <w:rFonts w:ascii="Arial" w:eastAsia="Arial" w:hAnsi="Arial" w:cs="Arial"/>
          <w:sz w:val="20"/>
          <w:szCs w:val="20"/>
        </w:rPr>
      </w:pPr>
      <w:r>
        <w:rPr>
          <w:rFonts w:ascii="Arial" w:eastAsia="Arial" w:hAnsi="Arial" w:cs="Arial"/>
          <w:sz w:val="20"/>
          <w:szCs w:val="20"/>
        </w:rPr>
        <w:t>Corregir las inconsistencias documentales: denominación del ítem 37 y de los ítems 41-42 entre tablas; batería del ítem 5 (mAh incompatibles con el producto descrito); y revisar la exigencia de teclado y mouse “gaming” en una estación de trabajo de línea corporativa.</w:t>
      </w:r>
    </w:p>
    <w:p w14:paraId="675EFCE1" w14:textId="77777777" w:rsidR="00BE6367" w:rsidRDefault="00C90F6A">
      <w:pPr>
        <w:numPr>
          <w:ilvl w:val="0"/>
          <w:numId w:val="52"/>
        </w:numPr>
        <w:spacing w:after="100" w:line="276" w:lineRule="auto"/>
        <w:jc w:val="both"/>
        <w:rPr>
          <w:rFonts w:ascii="Arial" w:eastAsia="Arial" w:hAnsi="Arial" w:cs="Arial"/>
          <w:sz w:val="20"/>
          <w:szCs w:val="20"/>
        </w:rPr>
      </w:pPr>
      <w:r>
        <w:rPr>
          <w:rFonts w:ascii="Arial" w:eastAsia="Arial" w:hAnsi="Arial" w:cs="Arial"/>
          <w:sz w:val="20"/>
          <w:szCs w:val="20"/>
        </w:rPr>
        <w:t>Evaluar la división de la operación en conjuntos independientes por familias de bienes, para ampliar la pluralidad de oferentes y mitigar riesgos de incumplimiento.</w:t>
      </w:r>
    </w:p>
    <w:p w14:paraId="4218255F" w14:textId="77777777" w:rsidR="00BE6367" w:rsidRDefault="00C90F6A">
      <w:pPr>
        <w:numPr>
          <w:ilvl w:val="0"/>
          <w:numId w:val="52"/>
        </w:numPr>
        <w:spacing w:after="100" w:line="276" w:lineRule="auto"/>
        <w:jc w:val="both"/>
        <w:rPr>
          <w:rFonts w:ascii="Arial" w:eastAsia="Arial" w:hAnsi="Arial" w:cs="Arial"/>
          <w:sz w:val="20"/>
          <w:szCs w:val="20"/>
        </w:rPr>
      </w:pPr>
      <w:r>
        <w:rPr>
          <w:rFonts w:ascii="Arial" w:eastAsia="Arial" w:hAnsi="Arial" w:cs="Arial"/>
          <w:sz w:val="20"/>
          <w:szCs w:val="20"/>
        </w:rPr>
        <w:t>Adoptar los ajustes puntuales de redacción propuestos en la Observación No. 13 para los ítems 1 (AIO) y 2 (Workstation), o exponer de manera motivada, requisito por requisito, las razones técnicas por las cuales la Entidad considera indispensable mantener la redacción actual, con indicación de al menos dos fabricantes cuyo producto la satisfaga integralmente.</w:t>
      </w:r>
    </w:p>
    <w:p w14:paraId="335E7AFD" w14:textId="77777777" w:rsidR="00BE6367" w:rsidRDefault="00C90F6A">
      <w:pPr>
        <w:numPr>
          <w:ilvl w:val="0"/>
          <w:numId w:val="52"/>
        </w:numPr>
        <w:spacing w:after="100" w:line="276" w:lineRule="auto"/>
        <w:jc w:val="both"/>
        <w:rPr>
          <w:rFonts w:ascii="Arial" w:eastAsia="Arial" w:hAnsi="Arial" w:cs="Arial"/>
          <w:sz w:val="20"/>
          <w:szCs w:val="20"/>
        </w:rPr>
      </w:pPr>
      <w:r>
        <w:rPr>
          <w:rFonts w:ascii="Arial" w:eastAsia="Arial" w:hAnsi="Arial" w:cs="Arial"/>
          <w:sz w:val="20"/>
          <w:szCs w:val="20"/>
        </w:rPr>
        <w:t>Dar respuesta motivada a cada una de las observaciones aquí formuladas y publicarla junto con la versión definitiva de la Ficha Técnica de Negociación y de las Fichas Técnicas de Producto, en garantía de los principios de publicidad y transparencia.</w:t>
      </w:r>
    </w:p>
    <w:p w14:paraId="4AA10EB5" w14:textId="77777777" w:rsidR="00BE6367" w:rsidRDefault="00C90F6A">
      <w:pPr>
        <w:spacing w:after="100" w:line="276" w:lineRule="auto"/>
        <w:ind w:left="360"/>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1FBE0495" w14:textId="77777777" w:rsidR="00BE6367" w:rsidRDefault="00C90F6A">
      <w:pPr>
        <w:spacing w:after="100" w:line="276" w:lineRule="auto"/>
        <w:ind w:left="360"/>
        <w:jc w:val="both"/>
        <w:rPr>
          <w:rFonts w:ascii="Arial" w:eastAsia="Arial" w:hAnsi="Arial" w:cs="Arial"/>
          <w:sz w:val="20"/>
          <w:szCs w:val="20"/>
        </w:rPr>
      </w:pPr>
      <w:r>
        <w:rPr>
          <w:rFonts w:ascii="Arial" w:eastAsia="Arial" w:hAnsi="Arial" w:cs="Arial"/>
          <w:sz w:val="20"/>
          <w:szCs w:val="20"/>
        </w:rPr>
        <w:t>Se informa al interesado que la totalidad de las observaciones presentadas fueron analizadas y respondidas conforme a las necesidades funcionales identificadas para cada perfil de usuario, los requerimientos mínimos definidos para los equipos y las especificaciones técnicas integrales establecidas para el presente proceso de adquisición.</w:t>
      </w:r>
    </w:p>
    <w:p w14:paraId="57C27EE6" w14:textId="77777777" w:rsidR="00BE6367" w:rsidRDefault="00C90F6A">
      <w:pPr>
        <w:pStyle w:val="Heading1"/>
        <w:spacing w:before="320"/>
        <w:jc w:val="both"/>
        <w:rPr>
          <w:rFonts w:ascii="Arial" w:eastAsia="Arial" w:hAnsi="Arial" w:cs="Arial"/>
          <w:sz w:val="20"/>
          <w:szCs w:val="20"/>
        </w:rPr>
      </w:pPr>
      <w:r>
        <w:rPr>
          <w:rFonts w:ascii="Arial" w:eastAsia="Arial" w:hAnsi="Arial" w:cs="Arial"/>
          <w:sz w:val="20"/>
          <w:szCs w:val="20"/>
        </w:rPr>
        <w:t>6. FUENTES CONSULTADAS</w:t>
      </w:r>
    </w:p>
    <w:p w14:paraId="5B8B354A" w14:textId="77777777" w:rsidR="00BE6367" w:rsidRDefault="00C90F6A">
      <w:pPr>
        <w:spacing w:line="276" w:lineRule="auto"/>
        <w:jc w:val="both"/>
        <w:rPr>
          <w:rFonts w:ascii="Arial" w:eastAsia="Arial" w:hAnsi="Arial" w:cs="Arial"/>
          <w:sz w:val="20"/>
          <w:szCs w:val="20"/>
        </w:rPr>
      </w:pPr>
      <w:r>
        <w:rPr>
          <w:rFonts w:ascii="Arial" w:eastAsia="Arial" w:hAnsi="Arial" w:cs="Arial"/>
          <w:sz w:val="20"/>
          <w:szCs w:val="20"/>
        </w:rPr>
        <w:t>Documentos del proceso: FTN.pdf (Ficha Técnica de Negociación, 31 págs.); FTP.pdf / FTP.docx (Fichas Técnicas de Producto, 100 págs.); ficha técnica de negociación equipos de cómputo - periféricos - audiovisuales 160626 vfa (1).docx.</w:t>
      </w:r>
    </w:p>
    <w:p w14:paraId="06883BC4" w14:textId="77777777" w:rsidR="00BE6367" w:rsidRDefault="00C90F6A">
      <w:pPr>
        <w:numPr>
          <w:ilvl w:val="0"/>
          <w:numId w:val="52"/>
        </w:numPr>
        <w:spacing w:after="100" w:line="276" w:lineRule="auto"/>
        <w:jc w:val="both"/>
        <w:rPr>
          <w:rFonts w:ascii="Arial" w:eastAsia="Arial" w:hAnsi="Arial" w:cs="Arial"/>
          <w:sz w:val="20"/>
          <w:szCs w:val="20"/>
        </w:rPr>
      </w:pPr>
      <w:r>
        <w:rPr>
          <w:rFonts w:ascii="Arial" w:eastAsia="Arial" w:hAnsi="Arial" w:cs="Arial"/>
          <w:sz w:val="20"/>
          <w:szCs w:val="20"/>
        </w:rPr>
        <w:t>Intel ARK – Intel Core Ultra 5 245: intel.com/content/www/us/en/products/sku/241876 (14 núcleos/14 hilos, 5,1 GHz, 26 MB L2, 65 W).</w:t>
      </w:r>
    </w:p>
    <w:p w14:paraId="3369868D" w14:textId="77777777" w:rsidR="00BE6367" w:rsidRDefault="00C90F6A">
      <w:pPr>
        <w:numPr>
          <w:ilvl w:val="0"/>
          <w:numId w:val="52"/>
        </w:numPr>
        <w:spacing w:after="100" w:line="276" w:lineRule="auto"/>
        <w:jc w:val="both"/>
        <w:rPr>
          <w:rFonts w:ascii="Arial" w:eastAsia="Arial" w:hAnsi="Arial" w:cs="Arial"/>
          <w:sz w:val="20"/>
          <w:szCs w:val="20"/>
        </w:rPr>
      </w:pPr>
      <w:r>
        <w:rPr>
          <w:rFonts w:ascii="Arial" w:eastAsia="Arial" w:hAnsi="Arial" w:cs="Arial"/>
          <w:sz w:val="20"/>
          <w:szCs w:val="20"/>
        </w:rPr>
        <w:t>Intel ARK – Intel Core Ultra 9 285K: intel.com/content/www/us/en/products/sku/241060 (24 núcleos 8P+16E, 5,7 GHz, 40 MB L2, 36 MB Smart Cache, 125 W, NPU 13 TOPS).</w:t>
      </w:r>
    </w:p>
    <w:p w14:paraId="725B9979" w14:textId="77777777" w:rsidR="00BE6367" w:rsidRPr="005C36D4" w:rsidRDefault="00C90F6A">
      <w:pPr>
        <w:numPr>
          <w:ilvl w:val="0"/>
          <w:numId w:val="52"/>
        </w:numPr>
        <w:spacing w:after="100" w:line="276" w:lineRule="auto"/>
        <w:jc w:val="both"/>
        <w:rPr>
          <w:rFonts w:ascii="Arial" w:eastAsia="Arial" w:hAnsi="Arial" w:cs="Arial"/>
          <w:sz w:val="20"/>
          <w:szCs w:val="20"/>
          <w:lang w:val="en-US"/>
        </w:rPr>
      </w:pPr>
      <w:r w:rsidRPr="005C36D4">
        <w:rPr>
          <w:rFonts w:ascii="Arial" w:eastAsia="Arial" w:hAnsi="Arial" w:cs="Arial"/>
          <w:sz w:val="20"/>
          <w:szCs w:val="20"/>
          <w:lang w:val="en-US"/>
        </w:rPr>
        <w:t>NVIDIA – RTX PRO 5000 Blackwell: nvidia.com/en-us/products/workstations/professional-desktop-gpus/rtx-pro-5000/ (48 GB GDDR7 ECC, 1.344 GB/s, 300 W).</w:t>
      </w:r>
    </w:p>
    <w:p w14:paraId="3F1BB762" w14:textId="77777777" w:rsidR="00BE6367" w:rsidRDefault="00C90F6A">
      <w:pPr>
        <w:numPr>
          <w:ilvl w:val="0"/>
          <w:numId w:val="52"/>
        </w:numPr>
        <w:spacing w:after="100" w:line="276" w:lineRule="auto"/>
        <w:jc w:val="both"/>
        <w:rPr>
          <w:rFonts w:ascii="Arial" w:eastAsia="Arial" w:hAnsi="Arial" w:cs="Arial"/>
          <w:sz w:val="20"/>
          <w:szCs w:val="20"/>
        </w:rPr>
      </w:pPr>
      <w:r>
        <w:rPr>
          <w:rFonts w:ascii="Arial" w:eastAsia="Arial" w:hAnsi="Arial" w:cs="Arial"/>
          <w:sz w:val="20"/>
          <w:szCs w:val="20"/>
        </w:rPr>
        <w:t>AMD – Ryzen 9 9950X: amd.com (16 núcleos/32 hilos, hasta 5,7 GHz, 80 MB de caché total L2+L3, TDP 170 W).</w:t>
      </w:r>
    </w:p>
    <w:p w14:paraId="25571155" w14:textId="77777777" w:rsidR="00BE6367" w:rsidRDefault="00C90F6A">
      <w:pPr>
        <w:numPr>
          <w:ilvl w:val="0"/>
          <w:numId w:val="52"/>
        </w:numPr>
        <w:spacing w:after="100" w:line="276" w:lineRule="auto"/>
        <w:jc w:val="both"/>
        <w:rPr>
          <w:rFonts w:ascii="Arial" w:eastAsia="Arial" w:hAnsi="Arial" w:cs="Arial"/>
          <w:sz w:val="20"/>
          <w:szCs w:val="20"/>
        </w:rPr>
      </w:pPr>
      <w:r>
        <w:rPr>
          <w:rFonts w:ascii="Arial" w:eastAsia="Arial" w:hAnsi="Arial" w:cs="Arial"/>
          <w:sz w:val="20"/>
          <w:szCs w:val="20"/>
        </w:rPr>
        <w:t>CNUDMI/UNCITRAL – Ley Modelo sobre la Contratación Pública (2011), artículo 10 (reglas sobre descripción del objeto y uso de marcas con la fórmula “o equivalente”).</w:t>
      </w:r>
    </w:p>
    <w:p w14:paraId="18409E7B" w14:textId="77777777" w:rsidR="00BE6367" w:rsidRDefault="00C90F6A">
      <w:pPr>
        <w:numPr>
          <w:ilvl w:val="0"/>
          <w:numId w:val="52"/>
        </w:numPr>
        <w:spacing w:after="100" w:line="276" w:lineRule="auto"/>
        <w:jc w:val="both"/>
        <w:rPr>
          <w:rFonts w:ascii="Arial" w:eastAsia="Arial" w:hAnsi="Arial" w:cs="Arial"/>
          <w:sz w:val="20"/>
          <w:szCs w:val="20"/>
        </w:rPr>
      </w:pPr>
      <w:r>
        <w:rPr>
          <w:rFonts w:ascii="Arial" w:eastAsia="Arial" w:hAnsi="Arial" w:cs="Arial"/>
          <w:sz w:val="20"/>
          <w:szCs w:val="20"/>
        </w:rPr>
        <w:t>Trusted Computing Group – Member Companies (categoría Promoter): trustedcomputinggroup.org/membership/member-companies/.</w:t>
      </w:r>
    </w:p>
    <w:p w14:paraId="020C9BCB" w14:textId="77777777" w:rsidR="00BE6367" w:rsidRPr="005C36D4" w:rsidRDefault="00C90F6A">
      <w:pPr>
        <w:numPr>
          <w:ilvl w:val="0"/>
          <w:numId w:val="52"/>
        </w:numPr>
        <w:spacing w:after="100" w:line="276" w:lineRule="auto"/>
        <w:jc w:val="both"/>
        <w:rPr>
          <w:rFonts w:ascii="Arial" w:eastAsia="Arial" w:hAnsi="Arial" w:cs="Arial"/>
          <w:sz w:val="20"/>
          <w:szCs w:val="20"/>
          <w:lang w:val="en-US"/>
        </w:rPr>
      </w:pPr>
      <w:r w:rsidRPr="005C36D4">
        <w:rPr>
          <w:rFonts w:ascii="Arial" w:eastAsia="Arial" w:hAnsi="Arial" w:cs="Arial"/>
          <w:sz w:val="20"/>
          <w:szCs w:val="20"/>
          <w:lang w:val="en-US"/>
        </w:rPr>
        <w:t>Dell – Dell Pro 24 All-in-One Plus (QB24250): dell.com/en-us/shop/desktop-computers/dell-pro-24-all-in-one-plus-desktop/spd/dell-pro-qb24250-aio (Core Ultra 5 245; HDMI-in 1.4 FHD; HDMI-out 2.1; PSU interna 240 W 80PLUS Platinum; USB-C 20 Gbps; soporte de altura ajustable).</w:t>
      </w:r>
    </w:p>
    <w:p w14:paraId="38C17CAF" w14:textId="77777777" w:rsidR="00BE6367" w:rsidRPr="00AA7016" w:rsidRDefault="00C90F6A">
      <w:pPr>
        <w:numPr>
          <w:ilvl w:val="0"/>
          <w:numId w:val="52"/>
        </w:numPr>
        <w:spacing w:after="100" w:line="276" w:lineRule="auto"/>
        <w:jc w:val="both"/>
        <w:rPr>
          <w:rFonts w:ascii="Arial" w:eastAsia="Arial" w:hAnsi="Arial" w:cs="Arial"/>
          <w:sz w:val="20"/>
          <w:szCs w:val="20"/>
          <w:lang w:val="pt-PT"/>
        </w:rPr>
      </w:pPr>
      <w:r w:rsidRPr="00AA7016">
        <w:rPr>
          <w:rFonts w:ascii="Arial" w:eastAsia="Arial" w:hAnsi="Arial" w:cs="Arial"/>
          <w:sz w:val="20"/>
          <w:szCs w:val="20"/>
          <w:lang w:val="pt-PT"/>
        </w:rPr>
        <w:t>HP – Datasheet EliteStudio 8 All-in-One G1i 23.8” (panel 75 Hz; HDMI-out 2.0).</w:t>
      </w:r>
    </w:p>
    <w:p w14:paraId="71D9196B" w14:textId="77777777" w:rsidR="00BE6367" w:rsidRPr="00AA7016" w:rsidRDefault="00C90F6A">
      <w:pPr>
        <w:numPr>
          <w:ilvl w:val="0"/>
          <w:numId w:val="52"/>
        </w:numPr>
        <w:spacing w:after="100" w:line="276" w:lineRule="auto"/>
        <w:jc w:val="both"/>
        <w:rPr>
          <w:rFonts w:ascii="Arial" w:eastAsia="Arial" w:hAnsi="Arial" w:cs="Arial"/>
          <w:sz w:val="20"/>
          <w:szCs w:val="20"/>
          <w:lang w:val="pt-PT"/>
        </w:rPr>
      </w:pPr>
      <w:r w:rsidRPr="00AA7016">
        <w:rPr>
          <w:rFonts w:ascii="Arial" w:eastAsia="Arial" w:hAnsi="Arial" w:cs="Arial"/>
          <w:sz w:val="20"/>
          <w:szCs w:val="20"/>
          <w:lang w:val="pt-PT"/>
        </w:rPr>
        <w:lastRenderedPageBreak/>
        <w:t>Lenovo PSREF – ThinkCentre M90a Gen 6: psref.lenovo.com/Product/ThinkCentre/ThinkCentre_M90a_Gen_6 (panel 23,8” FHD 250 nits; Wi-Fi 6E).</w:t>
      </w:r>
    </w:p>
    <w:p w14:paraId="30B11888" w14:textId="77777777" w:rsidR="00BE6367" w:rsidRDefault="00C90F6A">
      <w:pPr>
        <w:numPr>
          <w:ilvl w:val="0"/>
          <w:numId w:val="52"/>
        </w:numPr>
        <w:spacing w:after="100" w:line="276" w:lineRule="auto"/>
        <w:jc w:val="both"/>
        <w:rPr>
          <w:rFonts w:ascii="Arial" w:eastAsia="Arial" w:hAnsi="Arial" w:cs="Arial"/>
          <w:sz w:val="20"/>
          <w:szCs w:val="20"/>
        </w:rPr>
      </w:pPr>
      <w:r>
        <w:rPr>
          <w:rFonts w:ascii="Arial" w:eastAsia="Arial" w:hAnsi="Arial" w:cs="Arial"/>
          <w:sz w:val="20"/>
          <w:szCs w:val="20"/>
        </w:rPr>
        <w:t>Apple – especificaciones públicas de Mac Studio (M3 Ultra), Studio Display, MacBook Pro 14” y iPad Pro 11”: apple.com.</w:t>
      </w:r>
    </w:p>
    <w:p w14:paraId="1506DA39" w14:textId="77777777" w:rsidR="00BE6367" w:rsidRDefault="00BE6367">
      <w:pPr>
        <w:jc w:val="both"/>
        <w:rPr>
          <w:rFonts w:ascii="Arial" w:eastAsia="Arial" w:hAnsi="Arial" w:cs="Arial"/>
          <w:sz w:val="20"/>
          <w:szCs w:val="20"/>
        </w:rPr>
      </w:pPr>
    </w:p>
    <w:p w14:paraId="42EE74C1"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Ficha Técnica de Negociación</w:t>
      </w:r>
    </w:p>
    <w:p w14:paraId="5101E4DB" w14:textId="77777777" w:rsidR="00BE6367" w:rsidRDefault="00BE6367">
      <w:pPr>
        <w:jc w:val="both"/>
        <w:rPr>
          <w:rFonts w:ascii="Arial" w:eastAsia="Arial" w:hAnsi="Arial" w:cs="Arial"/>
          <w:sz w:val="20"/>
          <w:szCs w:val="20"/>
        </w:rPr>
      </w:pPr>
    </w:p>
    <w:p w14:paraId="50B5901B" w14:textId="77777777" w:rsidR="00BE6367" w:rsidRDefault="00BE6367">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p>
    <w:p w14:paraId="606640E3" w14:textId="77777777" w:rsidR="00BE6367" w:rsidRDefault="00C90F6A">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r>
        <w:rPr>
          <w:rFonts w:ascii="Arial" w:eastAsia="Arial" w:hAnsi="Arial" w:cs="Arial"/>
          <w:sz w:val="20"/>
          <w:szCs w:val="20"/>
        </w:rPr>
        <w:t>1</w:t>
      </w:r>
    </w:p>
    <w:p w14:paraId="4DD41F94" w14:textId="77777777" w:rsidR="00BE6367" w:rsidRDefault="00BE6367">
      <w:pPr>
        <w:jc w:val="both"/>
        <w:rPr>
          <w:rFonts w:ascii="Arial" w:eastAsia="Arial" w:hAnsi="Arial" w:cs="Arial"/>
          <w:sz w:val="20"/>
          <w:szCs w:val="20"/>
        </w:rPr>
      </w:pPr>
    </w:p>
    <w:p w14:paraId="5DCC45CF" w14:textId="77777777" w:rsidR="00BE6367" w:rsidRDefault="00BE6367">
      <w:pPr>
        <w:jc w:val="both"/>
        <w:rPr>
          <w:rFonts w:ascii="Arial" w:eastAsia="Arial" w:hAnsi="Arial" w:cs="Arial"/>
          <w:sz w:val="20"/>
          <w:szCs w:val="20"/>
        </w:rPr>
      </w:pPr>
    </w:p>
    <w:p w14:paraId="009EF643"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 xml:space="preserve">Documento(s) Adjunto(s): </w:t>
      </w:r>
    </w:p>
    <w:p w14:paraId="6D5A1691" w14:textId="77777777" w:rsidR="00BE6367" w:rsidRDefault="00BE6367">
      <w:pPr>
        <w:jc w:val="both"/>
        <w:rPr>
          <w:rFonts w:ascii="Arial" w:eastAsia="Arial" w:hAnsi="Arial" w:cs="Arial"/>
          <w:sz w:val="20"/>
          <w:szCs w:val="20"/>
        </w:rPr>
      </w:pPr>
    </w:p>
    <w:p w14:paraId="3420BBA7" w14:textId="77777777" w:rsidR="00BE6367" w:rsidRDefault="00BE6367">
      <w:pPr>
        <w:jc w:val="both"/>
        <w:rPr>
          <w:rFonts w:ascii="Arial" w:eastAsia="Arial" w:hAnsi="Arial" w:cs="Arial"/>
          <w:sz w:val="20"/>
          <w:szCs w:val="20"/>
        </w:rPr>
      </w:pPr>
    </w:p>
    <w:p w14:paraId="66CBC829" w14:textId="77777777" w:rsidR="00BE6367" w:rsidRDefault="00BE6367">
      <w:pPr>
        <w:jc w:val="both"/>
        <w:rPr>
          <w:rFonts w:ascii="Arial" w:eastAsia="Arial" w:hAnsi="Arial" w:cs="Arial"/>
          <w:sz w:val="20"/>
          <w:szCs w:val="20"/>
        </w:rPr>
      </w:pPr>
    </w:p>
    <w:tbl>
      <w:tblPr>
        <w:tblStyle w:val="af7"/>
        <w:tblW w:w="8353" w:type="dxa"/>
        <w:tblInd w:w="0"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1570"/>
        <w:gridCol w:w="6783"/>
      </w:tblGrid>
      <w:tr w:rsidR="00BE6367" w14:paraId="6F352544"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32CACC93"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Sociedad C. B.:</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2916EAA9"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MERCADO Y BOLSA S.A.</w:t>
            </w:r>
          </w:p>
        </w:tc>
      </w:tr>
      <w:tr w:rsidR="00BE6367" w14:paraId="16EF3CAD"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64E393AB"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Fecha Registro:</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09A4EB9B"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2026-07-10 (15:20)</w:t>
            </w:r>
          </w:p>
        </w:tc>
      </w:tr>
    </w:tbl>
    <w:p w14:paraId="72F7887E" w14:textId="77777777" w:rsidR="00BE6367" w:rsidRDefault="00BE6367">
      <w:pPr>
        <w:jc w:val="both"/>
        <w:rPr>
          <w:rFonts w:ascii="Arial" w:eastAsia="Arial" w:hAnsi="Arial" w:cs="Arial"/>
          <w:b/>
          <w:bCs/>
          <w:sz w:val="20"/>
          <w:szCs w:val="20"/>
        </w:rPr>
      </w:pPr>
    </w:p>
    <w:p w14:paraId="1D3C4D33"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Documento de Condiciones Especiales (DCE)</w:t>
      </w:r>
    </w:p>
    <w:p w14:paraId="2D6A6815" w14:textId="77777777" w:rsidR="00BE6367" w:rsidRDefault="00BE6367">
      <w:pPr>
        <w:jc w:val="both"/>
        <w:rPr>
          <w:rFonts w:ascii="Arial" w:eastAsia="Arial" w:hAnsi="Arial" w:cs="Arial"/>
          <w:sz w:val="20"/>
          <w:szCs w:val="20"/>
        </w:rPr>
      </w:pPr>
    </w:p>
    <w:p w14:paraId="6627BD33"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1D9249FC"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102D1713"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2CDAF52B" w14:textId="77777777" w:rsidR="00BE6367" w:rsidRDefault="00BE6367">
      <w:pPr>
        <w:jc w:val="both"/>
        <w:rPr>
          <w:rFonts w:ascii="Arial" w:eastAsia="Arial" w:hAnsi="Arial" w:cs="Arial"/>
          <w:sz w:val="20"/>
          <w:szCs w:val="20"/>
        </w:rPr>
      </w:pPr>
    </w:p>
    <w:p w14:paraId="66FC2E1D" w14:textId="77777777" w:rsidR="00BE6367" w:rsidRDefault="00BE6367">
      <w:pPr>
        <w:jc w:val="both"/>
        <w:rPr>
          <w:rFonts w:ascii="Arial" w:eastAsia="Arial" w:hAnsi="Arial" w:cs="Arial"/>
          <w:sz w:val="20"/>
          <w:szCs w:val="20"/>
        </w:rPr>
      </w:pPr>
    </w:p>
    <w:p w14:paraId="7381F0EA"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 xml:space="preserve">Documento(s) Adjunto(s): </w:t>
      </w:r>
    </w:p>
    <w:p w14:paraId="5B042DCD" w14:textId="77777777" w:rsidR="00BE6367" w:rsidRDefault="00BE6367">
      <w:pPr>
        <w:jc w:val="both"/>
        <w:rPr>
          <w:rFonts w:ascii="Arial" w:eastAsia="Arial" w:hAnsi="Arial" w:cs="Arial"/>
          <w:sz w:val="20"/>
          <w:szCs w:val="20"/>
        </w:rPr>
      </w:pPr>
    </w:p>
    <w:p w14:paraId="4A5E07C9" w14:textId="77777777" w:rsidR="00BE6367" w:rsidRDefault="00BE6367">
      <w:pPr>
        <w:jc w:val="both"/>
        <w:rPr>
          <w:rFonts w:ascii="Arial" w:eastAsia="Arial" w:hAnsi="Arial" w:cs="Arial"/>
          <w:sz w:val="20"/>
          <w:szCs w:val="20"/>
        </w:rPr>
      </w:pPr>
    </w:p>
    <w:p w14:paraId="145D7C98" w14:textId="77777777" w:rsidR="00BE6367" w:rsidRDefault="00BE6367">
      <w:pPr>
        <w:jc w:val="both"/>
        <w:rPr>
          <w:rFonts w:ascii="Arial" w:eastAsia="Arial" w:hAnsi="Arial" w:cs="Arial"/>
          <w:sz w:val="20"/>
          <w:szCs w:val="20"/>
        </w:rPr>
      </w:pPr>
    </w:p>
    <w:p w14:paraId="61818D23"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Ficha Técnica de Negociación</w:t>
      </w:r>
    </w:p>
    <w:p w14:paraId="42106137" w14:textId="77777777" w:rsidR="00BE6367" w:rsidRDefault="00BE6367">
      <w:pPr>
        <w:jc w:val="both"/>
        <w:rPr>
          <w:rFonts w:ascii="Arial" w:eastAsia="Arial" w:hAnsi="Arial" w:cs="Arial"/>
          <w:sz w:val="20"/>
          <w:szCs w:val="20"/>
        </w:rPr>
      </w:pPr>
    </w:p>
    <w:p w14:paraId="096E4B3B" w14:textId="77777777" w:rsidR="00BE6367" w:rsidRDefault="00BE6367">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p>
    <w:p w14:paraId="6748DE83" w14:textId="77777777" w:rsidR="00BE6367" w:rsidRDefault="00C90F6A">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r>
        <w:rPr>
          <w:rFonts w:ascii="Arial" w:eastAsia="Arial" w:hAnsi="Arial" w:cs="Arial"/>
          <w:sz w:val="20"/>
          <w:szCs w:val="20"/>
        </w:rPr>
        <w:t xml:space="preserve">observaciones </w:t>
      </w:r>
    </w:p>
    <w:p w14:paraId="718D3DC0" w14:textId="77777777" w:rsidR="00BE6367" w:rsidRDefault="00BE6367">
      <w:pPr>
        <w:jc w:val="both"/>
        <w:rPr>
          <w:rFonts w:ascii="Arial" w:eastAsia="Arial" w:hAnsi="Arial" w:cs="Arial"/>
          <w:sz w:val="20"/>
          <w:szCs w:val="20"/>
        </w:rPr>
      </w:pPr>
    </w:p>
    <w:p w14:paraId="5286D9BF" w14:textId="77777777" w:rsidR="00BE6367" w:rsidRDefault="00BE6367">
      <w:pPr>
        <w:jc w:val="both"/>
        <w:rPr>
          <w:rFonts w:ascii="Arial" w:eastAsia="Arial" w:hAnsi="Arial" w:cs="Arial"/>
          <w:sz w:val="20"/>
          <w:szCs w:val="20"/>
        </w:rPr>
      </w:pPr>
    </w:p>
    <w:p w14:paraId="1A5C5CEA"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Documento(s) Adjunto(s): Sí</w:t>
      </w:r>
    </w:p>
    <w:p w14:paraId="64653F64" w14:textId="77777777" w:rsidR="00BE6367" w:rsidRDefault="00BE6367">
      <w:pPr>
        <w:jc w:val="both"/>
        <w:rPr>
          <w:rFonts w:ascii="Arial" w:eastAsia="Arial" w:hAnsi="Arial" w:cs="Arial"/>
          <w:sz w:val="20"/>
          <w:szCs w:val="20"/>
        </w:rPr>
      </w:pPr>
    </w:p>
    <w:p w14:paraId="1B3DDCFC" w14:textId="77777777" w:rsidR="00BE6367" w:rsidRDefault="00C90F6A">
      <w:pPr>
        <w:spacing w:after="400"/>
        <w:jc w:val="both"/>
        <w:rPr>
          <w:rFonts w:ascii="Arial" w:eastAsia="Arial" w:hAnsi="Arial" w:cs="Arial"/>
          <w:sz w:val="20"/>
          <w:szCs w:val="20"/>
        </w:rPr>
      </w:pPr>
      <w:r>
        <w:rPr>
          <w:rFonts w:ascii="Arial" w:eastAsia="Arial" w:hAnsi="Arial" w:cs="Arial"/>
          <w:sz w:val="20"/>
          <w:szCs w:val="20"/>
        </w:rPr>
        <w:t>Bogotá, 06 de julio de 2026</w:t>
      </w:r>
    </w:p>
    <w:p w14:paraId="2F537A7A"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t>Señores</w:t>
      </w:r>
    </w:p>
    <w:p w14:paraId="308E6660" w14:textId="77777777" w:rsidR="00BE6367" w:rsidRDefault="00BE6367">
      <w:pPr>
        <w:spacing w:after="40"/>
        <w:jc w:val="both"/>
        <w:rPr>
          <w:rFonts w:ascii="Arial" w:eastAsia="Arial" w:hAnsi="Arial" w:cs="Arial"/>
          <w:sz w:val="20"/>
          <w:szCs w:val="20"/>
        </w:rPr>
      </w:pPr>
    </w:p>
    <w:p w14:paraId="61FA325C" w14:textId="77777777" w:rsidR="00BE6367" w:rsidRDefault="00C90F6A">
      <w:pPr>
        <w:spacing w:after="300"/>
        <w:jc w:val="both"/>
        <w:rPr>
          <w:rFonts w:ascii="Arial" w:eastAsia="Arial" w:hAnsi="Arial" w:cs="Arial"/>
          <w:sz w:val="20"/>
          <w:szCs w:val="20"/>
        </w:rPr>
      </w:pPr>
      <w:r>
        <w:rPr>
          <w:rFonts w:ascii="Arial" w:eastAsia="Arial" w:hAnsi="Arial" w:cs="Arial"/>
          <w:sz w:val="20"/>
          <w:szCs w:val="20"/>
        </w:rPr>
        <w:t xml:space="preserve">PROCURADURÍA GENERAL DE LA NACIÓN </w:t>
      </w:r>
    </w:p>
    <w:p w14:paraId="566AEA2F" w14:textId="77777777" w:rsidR="00BE6367" w:rsidRDefault="00BE6367">
      <w:pPr>
        <w:spacing w:after="300"/>
        <w:jc w:val="both"/>
        <w:rPr>
          <w:rFonts w:ascii="Arial" w:eastAsia="Arial" w:hAnsi="Arial" w:cs="Arial"/>
          <w:b/>
          <w:bCs/>
          <w:sz w:val="20"/>
          <w:szCs w:val="20"/>
        </w:rPr>
      </w:pPr>
    </w:p>
    <w:p w14:paraId="5EA6E317" w14:textId="77777777" w:rsidR="00BE6367" w:rsidRDefault="00C90F6A">
      <w:pPr>
        <w:spacing w:after="300"/>
        <w:jc w:val="both"/>
        <w:rPr>
          <w:rFonts w:ascii="Arial" w:eastAsia="Arial" w:hAnsi="Arial" w:cs="Arial"/>
          <w:b/>
          <w:bCs/>
          <w:sz w:val="20"/>
          <w:szCs w:val="20"/>
        </w:rPr>
      </w:pPr>
      <w:r>
        <w:rPr>
          <w:rFonts w:ascii="Arial" w:eastAsia="Arial" w:hAnsi="Arial" w:cs="Arial"/>
          <w:b/>
          <w:bCs/>
          <w:sz w:val="20"/>
          <w:szCs w:val="20"/>
        </w:rPr>
        <w:t>Referencia: Observaciones al FTN Y FTP</w:t>
      </w:r>
    </w:p>
    <w:p w14:paraId="4362D746" w14:textId="77777777" w:rsidR="00BE6367" w:rsidRDefault="00C90F6A">
      <w:pPr>
        <w:jc w:val="both"/>
        <w:rPr>
          <w:rFonts w:ascii="Arial" w:eastAsia="Arial" w:hAnsi="Arial" w:cs="Arial"/>
          <w:sz w:val="20"/>
          <w:szCs w:val="20"/>
        </w:rPr>
      </w:pPr>
      <w:r>
        <w:rPr>
          <w:rFonts w:ascii="Arial" w:eastAsia="Arial" w:hAnsi="Arial" w:cs="Arial"/>
          <w:b/>
          <w:bCs/>
          <w:sz w:val="20"/>
          <w:szCs w:val="20"/>
        </w:rPr>
        <w:t xml:space="preserve">Objeto de la Negociación: </w:t>
      </w:r>
      <w:r>
        <w:rPr>
          <w:rFonts w:ascii="Arial" w:eastAsia="Arial" w:hAnsi="Arial" w:cs="Arial"/>
          <w:sz w:val="20"/>
          <w:szCs w:val="20"/>
        </w:rPr>
        <w:t xml:space="preserve">La presente negociación tiene como objeto </w:t>
      </w:r>
      <w:r>
        <w:rPr>
          <w:rFonts w:ascii="Arial" w:eastAsia="Arial" w:hAnsi="Arial" w:cs="Arial"/>
          <w:b/>
          <w:bCs/>
          <w:i/>
          <w:iCs/>
          <w:sz w:val="20"/>
          <w:szCs w:val="20"/>
        </w:rPr>
        <w:t>ADQUISICIÓN, IMPLEMENTACIÓN Y SOPORTE TECNOLÓGICO QUE INCLUYA SOLUCIONES AUDIOVISUALES, EQUIPOS DE CÓMPUTO Y PERIFÉRICOS PARA LA PROCURADURÍA GENERAL DE LA NACIÓN ”</w:t>
      </w:r>
      <w:r>
        <w:rPr>
          <w:rFonts w:ascii="Arial" w:eastAsia="Arial" w:hAnsi="Arial" w:cs="Arial"/>
          <w:sz w:val="20"/>
          <w:szCs w:val="20"/>
        </w:rPr>
        <w:t>, de conformidad con el procedimiento establecido en el Reglamento de Funcionamiento y operación de la Bolsa para el Mercado de Compras Públicas</w:t>
      </w:r>
    </w:p>
    <w:p w14:paraId="368093D5" w14:textId="77777777" w:rsidR="00BE6367" w:rsidRDefault="00C90F6A">
      <w:pPr>
        <w:jc w:val="both"/>
        <w:rPr>
          <w:rFonts w:ascii="Arial" w:eastAsia="Arial" w:hAnsi="Arial" w:cs="Arial"/>
          <w:sz w:val="20"/>
          <w:szCs w:val="20"/>
        </w:rPr>
      </w:pPr>
      <w:r>
        <w:rPr>
          <w:rFonts w:ascii="Arial" w:eastAsia="Arial" w:hAnsi="Arial" w:cs="Arial"/>
          <w:sz w:val="20"/>
          <w:szCs w:val="20"/>
        </w:rPr>
        <w:t>Por medio del presente enviamos las siguientes observaciones de las especificaciones de la FTP:</w:t>
      </w:r>
    </w:p>
    <w:p w14:paraId="702D6D4B"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ITEM: SOLUCIÓN COMPLETA DE VIDEO</w:t>
      </w:r>
    </w:p>
    <w:p w14:paraId="19C6C166" w14:textId="77777777" w:rsidR="00BE6367" w:rsidRDefault="00C90F6A">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color w:val="000000"/>
          <w:sz w:val="20"/>
          <w:szCs w:val="20"/>
        </w:rPr>
        <w:t>Enviamos las siguientes observaciones técnicas relacionadas con el item “SOLUCIÓN COMPLETA DE VIDEO”</w:t>
      </w:r>
    </w:p>
    <w:p w14:paraId="78F61E2C" w14:textId="77777777" w:rsidR="00BE6367" w:rsidRDefault="00C90F6A">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b/>
          <w:bCs/>
          <w:color w:val="000000"/>
          <w:sz w:val="20"/>
          <w:szCs w:val="20"/>
        </w:rPr>
        <w:t>Observación 1 — Campo de visión</w:t>
      </w:r>
    </w:p>
    <w:p w14:paraId="14F08010" w14:textId="77777777" w:rsidR="00BE6367" w:rsidRDefault="00C90F6A">
      <w:pPr>
        <w:numPr>
          <w:ilvl w:val="0"/>
          <w:numId w:val="53"/>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Texto actual:</w:t>
      </w:r>
      <w:r>
        <w:rPr>
          <w:rFonts w:ascii="Arial" w:eastAsia="Arial" w:hAnsi="Arial" w:cs="Arial"/>
          <w:color w:val="000000"/>
          <w:sz w:val="20"/>
          <w:szCs w:val="20"/>
        </w:rPr>
        <w:t xml:space="preserve"> "El ángulo de visión horizontal no deberá ser inferior a 160° y vertical mínimo 54°."</w:t>
      </w:r>
    </w:p>
    <w:p w14:paraId="696DA5E0" w14:textId="77777777" w:rsidR="00BE6367" w:rsidRDefault="00C90F6A">
      <w:pPr>
        <w:numPr>
          <w:ilvl w:val="0"/>
          <w:numId w:val="53"/>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Justificación:</w:t>
      </w:r>
      <w:sdt>
        <w:sdtPr>
          <w:tag w:val="goog_rdk_10"/>
          <w:id w:val="-522724085"/>
        </w:sdtPr>
        <w:sdtContent>
          <w:r>
            <w:rPr>
              <w:rFonts w:ascii="Arial Unicode MS" w:eastAsia="Arial Unicode MS" w:hAnsi="Arial Unicode MS" w:cs="Arial Unicode MS"/>
              <w:color w:val="000000"/>
              <w:sz w:val="20"/>
              <w:szCs w:val="20"/>
            </w:rPr>
            <w:t xml:space="preserve"> Un FOV ≥160° solo existe en la arquitectura panorámica cosida de un fabricante. El objetivo funcional del requisito es que todos los participantes queden encuadrados; las salas de destino (salas de audiencia) son espacios profundos donde el desempeño relevante es la resolución por participante a distancia y el encuadre inteligente, no la amplitud extrema del ángulo. Un FOV ultra-ancho reduce la densidad de píxeles por rostro y no aporta valor en salas cuya geometría es longitudinal.</w:t>
          </w:r>
        </w:sdtContent>
      </w:sdt>
    </w:p>
    <w:p w14:paraId="2E8167D4" w14:textId="77777777" w:rsidR="00BE6367" w:rsidRDefault="00C90F6A">
      <w:pPr>
        <w:numPr>
          <w:ilvl w:val="0"/>
          <w:numId w:val="53"/>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Redacción propuesta:</w:t>
      </w:r>
      <w:r>
        <w:rPr>
          <w:rFonts w:ascii="Arial" w:eastAsia="Arial" w:hAnsi="Arial" w:cs="Arial"/>
          <w:color w:val="000000"/>
          <w:sz w:val="20"/>
          <w:szCs w:val="20"/>
        </w:rPr>
        <w:t xml:space="preserve"> "El dispositivo deberá garantizar el encuadre de la totalidad de los participantes de la sala mediante un campo de visión horizontal mínimo de 95°, complementado obligatoriamente con sistema de encuadre automático basado en IA (auto-framing, seguimiento de orador y composición dinámica). Se valorará arquitectura óptica multicámara con lentes de distinta distancia focal que preserve la resolución de los participantes ubicados al fondo de la sala."</w:t>
      </w:r>
    </w:p>
    <w:p w14:paraId="3579079C" w14:textId="77777777" w:rsidR="00BE6367" w:rsidRDefault="00BE6367">
      <w:pPr>
        <w:pBdr>
          <w:top w:val="nil"/>
          <w:left w:val="nil"/>
          <w:bottom w:val="nil"/>
          <w:right w:val="nil"/>
          <w:between w:val="nil"/>
        </w:pBdr>
        <w:spacing w:line="240" w:lineRule="auto"/>
        <w:jc w:val="both"/>
        <w:rPr>
          <w:rFonts w:ascii="Arial" w:eastAsia="Arial" w:hAnsi="Arial" w:cs="Arial"/>
          <w:color w:val="000000"/>
          <w:sz w:val="20"/>
          <w:szCs w:val="20"/>
        </w:rPr>
      </w:pPr>
    </w:p>
    <w:p w14:paraId="7F25AC1B" w14:textId="77777777" w:rsidR="00BE6367" w:rsidRDefault="00C90F6A">
      <w:pPr>
        <w:jc w:val="both"/>
        <w:rPr>
          <w:rFonts w:ascii="Arial" w:eastAsia="Arial" w:hAnsi="Arial" w:cs="Arial"/>
          <w:sz w:val="20"/>
          <w:szCs w:val="20"/>
        </w:rPr>
      </w:pPr>
      <w:r>
        <w:rPr>
          <w:rFonts w:ascii="Arial" w:eastAsia="Arial" w:hAnsi="Arial" w:cs="Arial"/>
          <w:b/>
          <w:bCs/>
          <w:sz w:val="20"/>
          <w:szCs w:val="20"/>
        </w:rPr>
        <w:lastRenderedPageBreak/>
        <w:t>RESPUESTA A OBSERVACIÓN</w:t>
      </w:r>
      <w:r>
        <w:rPr>
          <w:rFonts w:ascii="Arial" w:eastAsia="Arial" w:hAnsi="Arial" w:cs="Arial"/>
          <w:sz w:val="20"/>
          <w:szCs w:val="20"/>
        </w:rPr>
        <w:t xml:space="preserve">: </w:t>
      </w:r>
    </w:p>
    <w:p w14:paraId="6348901A" w14:textId="77777777" w:rsidR="00BE6367" w:rsidRDefault="00C90F6A">
      <w:pPr>
        <w:jc w:val="both"/>
        <w:rPr>
          <w:rFonts w:ascii="Arial" w:eastAsia="Arial" w:hAnsi="Arial" w:cs="Arial"/>
          <w:sz w:val="20"/>
          <w:szCs w:val="20"/>
        </w:rPr>
      </w:pPr>
      <w:r>
        <w:rPr>
          <w:rFonts w:ascii="Arial" w:eastAsia="Arial" w:hAnsi="Arial" w:cs="Arial"/>
          <w:sz w:val="20"/>
          <w:szCs w:val="20"/>
        </w:rPr>
        <w:t>No se acepta la modificación del requisito de campo de visión horizontal mínimo de 160°. Se acepta parcialmente la observación en lo relativo a las funciones de encuadre inteligente, en los términos que se indican al final.</w:t>
      </w:r>
    </w:p>
    <w:p w14:paraId="71CD1EDE" w14:textId="77777777" w:rsidR="00BE6367" w:rsidRDefault="00C90F6A">
      <w:pPr>
        <w:spacing w:before="240" w:after="240"/>
        <w:jc w:val="both"/>
        <w:rPr>
          <w:rFonts w:ascii="Arial" w:eastAsia="Arial" w:hAnsi="Arial" w:cs="Arial"/>
          <w:sz w:val="20"/>
          <w:szCs w:val="20"/>
        </w:rPr>
      </w:pPr>
      <w:r>
        <w:rPr>
          <w:rFonts w:ascii="Arial" w:eastAsia="Arial" w:hAnsi="Arial" w:cs="Arial"/>
          <w:b/>
          <w:bCs/>
          <w:sz w:val="20"/>
          <w:szCs w:val="20"/>
        </w:rPr>
        <w:t>1. Sobre la necesidad real de la Entidad.</w:t>
      </w:r>
      <w:r>
        <w:rPr>
          <w:rFonts w:ascii="Arial" w:eastAsia="Arial" w:hAnsi="Arial" w:cs="Arial"/>
          <w:sz w:val="20"/>
          <w:szCs w:val="20"/>
        </w:rPr>
        <w:t xml:space="preserve"> La premisa del observante según la cual los espacios de destino corresponden a "salas profundas" de geometría longitudinal no se ajusta a la realidad de los espacios beneficiarios. Las oficinas y salas objeto de esta dotación no siguen diseños estandarizados ni corresponden específicamente a salas de juntas: incluyen despachos, oficinas adaptadas y espacios de reunión de geometrías heterogéneas, en su mayoría de poca profundidad, donde los participantes se ubican a corta distancia del dispositivo y hacia los extremos laterales de la sala. En esas condiciones, un campo de visión convencional (95°–120°) deja participantes por fuera del encuadre, obligando al usuario a reacomodar muebles, sillas o escritorios antes de cada llamada. La Entidad requiere que el usuario pueda iniciar una sesión de manera inmediata, sin reconfigurar el espacio y con el menor número de elementos instalados, y esa versatilidad solo la garantiza una visión panorámica igual o superior a 160°.</w:t>
      </w:r>
    </w:p>
    <w:p w14:paraId="65261A4A" w14:textId="77777777" w:rsidR="00BE6367" w:rsidRDefault="00C90F6A">
      <w:pPr>
        <w:spacing w:before="240" w:after="240"/>
        <w:jc w:val="both"/>
        <w:rPr>
          <w:rFonts w:ascii="Arial" w:eastAsia="Arial" w:hAnsi="Arial" w:cs="Arial"/>
          <w:sz w:val="20"/>
          <w:szCs w:val="20"/>
        </w:rPr>
      </w:pPr>
      <w:r>
        <w:rPr>
          <w:rFonts w:ascii="Arial" w:eastAsia="Arial" w:hAnsi="Arial" w:cs="Arial"/>
          <w:b/>
          <w:bCs/>
          <w:sz w:val="20"/>
          <w:szCs w:val="20"/>
        </w:rPr>
        <w:t>2. Sobre la pluralidad de oferentes.</w:t>
      </w:r>
      <w:r>
        <w:rPr>
          <w:rFonts w:ascii="Arial" w:eastAsia="Arial" w:hAnsi="Arial" w:cs="Arial"/>
          <w:sz w:val="20"/>
          <w:szCs w:val="20"/>
        </w:rPr>
        <w:t xml:space="preserve"> El requisito está expresado como un parámetro funcional de desempeño (un ángulo de visión), no como una marca, referencia o arquitectura determinada. La ficha no exige un mecanismo específico para lograrlo: el proponente puede acreditarlo mediante lente ultra gran angular único, arreglo multisensor con costura de imagen o cualquier otra arquitectura óptica, técnica ampliamente difundida en la industria y no exclusiva de un fabricante. La existencia de fabricantes que han optado por no ofrecer productos con visión panorámica en su portafolio no convierte el requisito en restrictivo: los principios de libre concurrencia no obligan a la Entidad a degradar su necesidad funcional al mínimo común del mercado, sino a expresarla de forma objetiva y no discriminatoria, como en efecto ocurre.</w:t>
      </w:r>
    </w:p>
    <w:p w14:paraId="01CB7B9A" w14:textId="77777777" w:rsidR="00BE6367" w:rsidRDefault="00C90F6A">
      <w:pPr>
        <w:spacing w:before="240" w:after="240"/>
        <w:jc w:val="both"/>
        <w:rPr>
          <w:rFonts w:ascii="Arial" w:eastAsia="Arial" w:hAnsi="Arial" w:cs="Arial"/>
          <w:sz w:val="20"/>
          <w:szCs w:val="20"/>
        </w:rPr>
      </w:pPr>
      <w:r>
        <w:rPr>
          <w:rFonts w:ascii="Arial" w:eastAsia="Arial" w:hAnsi="Arial" w:cs="Arial"/>
          <w:b/>
          <w:bCs/>
          <w:sz w:val="20"/>
          <w:szCs w:val="20"/>
        </w:rPr>
        <w:t>3. Sobre la homogeneidad del parque instalado.</w:t>
      </w:r>
      <w:r>
        <w:rPr>
          <w:rFonts w:ascii="Arial" w:eastAsia="Arial" w:hAnsi="Arial" w:cs="Arial"/>
          <w:sz w:val="20"/>
          <w:szCs w:val="20"/>
        </w:rPr>
        <w:t xml:space="preserve"> La adquisición corresponde a sesenta (60) espacios de características diversas. Adoptar el enfoque propuesto por el observante implicaría evaluar sala por sala qué geometría admite un FOV reducido, con el riesgo operativo y de soporte que supone un parque heterogéneo. Un único estándar panorámico garantiza que cualquier equipo sirva en cualquier espacio, simplifica el soporte, la capacitación y el reemplazo por garantía, y protege la inversión ante reorganizaciones futuras de los espacios físicos.</w:t>
      </w:r>
    </w:p>
    <w:p w14:paraId="765179F1" w14:textId="77777777" w:rsidR="00BE6367" w:rsidRDefault="00C90F6A">
      <w:pPr>
        <w:spacing w:before="240" w:after="240"/>
        <w:jc w:val="both"/>
        <w:rPr>
          <w:rFonts w:ascii="Arial" w:eastAsia="Arial" w:hAnsi="Arial" w:cs="Arial"/>
          <w:i/>
          <w:iCs/>
          <w:sz w:val="20"/>
          <w:szCs w:val="20"/>
        </w:rPr>
      </w:pPr>
      <w:r>
        <w:rPr>
          <w:rFonts w:ascii="Arial" w:eastAsia="Arial" w:hAnsi="Arial" w:cs="Arial"/>
          <w:b/>
          <w:bCs/>
          <w:sz w:val="20"/>
          <w:szCs w:val="20"/>
        </w:rPr>
        <w:t>En consecuencia:</w:t>
      </w:r>
      <w:r>
        <w:rPr>
          <w:rFonts w:ascii="Arial" w:eastAsia="Arial" w:hAnsi="Arial" w:cs="Arial"/>
          <w:sz w:val="20"/>
          <w:szCs w:val="20"/>
        </w:rPr>
        <w:t xml:space="preserve"> se </w:t>
      </w:r>
      <w:r>
        <w:rPr>
          <w:rFonts w:ascii="Arial" w:eastAsia="Arial" w:hAnsi="Arial" w:cs="Arial"/>
          <w:b/>
          <w:bCs/>
          <w:sz w:val="20"/>
          <w:szCs w:val="20"/>
        </w:rPr>
        <w:t>mantiene</w:t>
      </w:r>
      <w:r>
        <w:rPr>
          <w:rFonts w:ascii="Arial" w:eastAsia="Arial" w:hAnsi="Arial" w:cs="Arial"/>
          <w:sz w:val="20"/>
          <w:szCs w:val="20"/>
        </w:rPr>
        <w:t xml:space="preserve"> el requisito "el ángulo de visión horizontal no deberá ser inferior a 160° y vertical mínimo 54°". No obstante, acogiendo parcialmente la observación, se </w:t>
      </w:r>
      <w:r>
        <w:rPr>
          <w:rFonts w:ascii="Arial" w:eastAsia="Arial" w:hAnsi="Arial" w:cs="Arial"/>
          <w:b/>
          <w:bCs/>
          <w:sz w:val="20"/>
          <w:szCs w:val="20"/>
        </w:rPr>
        <w:t>adiciona</w:t>
      </w:r>
      <w:r>
        <w:rPr>
          <w:rFonts w:ascii="Arial" w:eastAsia="Arial" w:hAnsi="Arial" w:cs="Arial"/>
          <w:sz w:val="20"/>
          <w:szCs w:val="20"/>
        </w:rPr>
        <w:t xml:space="preserve"> a la ficha la siguiente característica complementaria: </w:t>
      </w:r>
      <w:r>
        <w:rPr>
          <w:rFonts w:ascii="Arial" w:eastAsia="Arial" w:hAnsi="Arial" w:cs="Arial"/>
          <w:i/>
          <w:iCs/>
          <w:sz w:val="20"/>
          <w:szCs w:val="20"/>
        </w:rPr>
        <w:t>"El dispositivo deberá contar adicionalmente con funciones de encuadre automático basadas en IA, incluyendo como mínimo encuadre dinámico de participantes, seguimiento de orador y composición inteligente de la escena."</w:t>
      </w:r>
    </w:p>
    <w:p w14:paraId="2EBFF8D5" w14:textId="77777777" w:rsidR="00BE6367" w:rsidRDefault="00C90F6A">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b/>
          <w:bCs/>
          <w:color w:val="000000"/>
          <w:sz w:val="20"/>
          <w:szCs w:val="20"/>
        </w:rPr>
        <w:t>Observación 2 — Resolución de cámara</w:t>
      </w:r>
    </w:p>
    <w:p w14:paraId="15B9CB8A" w14:textId="77777777" w:rsidR="00BE6367" w:rsidRDefault="00C90F6A">
      <w:pPr>
        <w:numPr>
          <w:ilvl w:val="0"/>
          <w:numId w:val="54"/>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Texto actual:</w:t>
      </w:r>
      <w:r>
        <w:rPr>
          <w:rFonts w:ascii="Arial" w:eastAsia="Arial" w:hAnsi="Arial" w:cs="Arial"/>
          <w:color w:val="000000"/>
          <w:sz w:val="20"/>
          <w:szCs w:val="20"/>
        </w:rPr>
        <w:t xml:space="preserve"> "Deberá soportar captura de video en resolución mínima en modo panorámico 4K (3840 × 1080)."</w:t>
      </w:r>
    </w:p>
    <w:p w14:paraId="13C21D8A" w14:textId="77777777" w:rsidR="00BE6367" w:rsidRDefault="00C90F6A">
      <w:pPr>
        <w:numPr>
          <w:ilvl w:val="0"/>
          <w:numId w:val="54"/>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Justificación:</w:t>
      </w:r>
      <w:r>
        <w:rPr>
          <w:rFonts w:ascii="Arial" w:eastAsia="Arial" w:hAnsi="Arial" w:cs="Arial"/>
          <w:color w:val="000000"/>
          <w:sz w:val="20"/>
          <w:szCs w:val="20"/>
        </w:rPr>
        <w:t xml:space="preserve"> El formato 3840×1080 es propio de una arquitectura panorámica específica. La necesidad funcional es video 4K; existen soluciones que entregan 4K UHD (3840×2160) con mayor cantidad total de píxeles, es decir, igual o superior calidad.</w:t>
      </w:r>
    </w:p>
    <w:p w14:paraId="18F3F7A6" w14:textId="77777777" w:rsidR="00BE6367" w:rsidRDefault="00C90F6A">
      <w:pPr>
        <w:numPr>
          <w:ilvl w:val="0"/>
          <w:numId w:val="54"/>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Redacción propuesta:</w:t>
      </w:r>
      <w:r>
        <w:rPr>
          <w:rFonts w:ascii="Arial" w:eastAsia="Arial" w:hAnsi="Arial" w:cs="Arial"/>
          <w:color w:val="000000"/>
          <w:sz w:val="20"/>
          <w:szCs w:val="20"/>
        </w:rPr>
        <w:t xml:space="preserve"> "Deberá soportar captura y salida de video en resolución mínima 4K, entendida como 3840×2160 (UHD) o 3840×1080 (panorámico), con sensores cuya resolución combinada no sea inferior a 16 MP."</w:t>
      </w:r>
    </w:p>
    <w:p w14:paraId="62705DD7" w14:textId="77777777" w:rsidR="00BE6367" w:rsidRDefault="00BE6367">
      <w:pPr>
        <w:pBdr>
          <w:top w:val="nil"/>
          <w:left w:val="nil"/>
          <w:bottom w:val="nil"/>
          <w:right w:val="nil"/>
          <w:between w:val="nil"/>
        </w:pBdr>
        <w:spacing w:line="240" w:lineRule="auto"/>
        <w:jc w:val="both"/>
        <w:rPr>
          <w:rFonts w:ascii="Arial" w:eastAsia="Arial" w:hAnsi="Arial" w:cs="Arial"/>
          <w:sz w:val="20"/>
          <w:szCs w:val="20"/>
        </w:rPr>
      </w:pPr>
    </w:p>
    <w:p w14:paraId="0BCCE656"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w:t>
      </w:r>
    </w:p>
    <w:p w14:paraId="4EAD33EE"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Se acepta parcialmente la observación. En aplicación de los principios de libre concurrencia y selección objetiva (art. 5 Ley 1150 de 2007), la Entidad precisa que la necesidad funcional exigida corresponde a la captura y salida de video en resolución 4K, la cual puede materializarse tanto en formato panorámico (3840×1080) como en formato UHD (3840×2160), sin que ello disminuya el estándar de calidad de imagen requerido para el uso previsto del equipo. En consecuencia, se ajusta la ficha técnica para admitir ambos formatos como cumplimiento válido del requisito.</w:t>
      </w:r>
    </w:p>
    <w:p w14:paraId="65ADFE43"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No se acepta la inclusión del parámetro de "resolución combinada de sensores" propuesto por el observante, por corresponder a una característica constructiva interna del equipo y no a un parámetro de desempeño verificable sobre la plataforma de colaboración. La Entidad reitera que el criterio relevante para la evaluación es la resolución de video efectivamente entregada en la salida del sistema, y no la suma nominal de megapíxeles de los sensores que la originan, en concordancia con el criterio ya adoptado por la Entidad respecto de especificaciones análogas de este proceso.</w:t>
      </w:r>
    </w:p>
    <w:p w14:paraId="5F003125"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En consecuencia, la característica quedará redactada así: "Deberá soportar captura de video en resolución mínima 4K, en formato panorámico (3840×1080) o UHD (3840×2160), garantizando dicha resolución sobre la totalidad del campo de visión mínimo exigido en la presente ficha técnica", debiendo el proponente acreditar dicho cumplimiento mediante la ficha técnica del fabricante del equipo ofertado.</w:t>
      </w:r>
    </w:p>
    <w:p w14:paraId="256A4C5B" w14:textId="77777777" w:rsidR="00BE6367" w:rsidRDefault="00BE6367">
      <w:pPr>
        <w:pBdr>
          <w:top w:val="nil"/>
          <w:left w:val="nil"/>
          <w:bottom w:val="nil"/>
          <w:right w:val="nil"/>
          <w:between w:val="nil"/>
        </w:pBdr>
        <w:spacing w:line="240" w:lineRule="auto"/>
        <w:jc w:val="both"/>
        <w:rPr>
          <w:rFonts w:ascii="Arial" w:eastAsia="Arial" w:hAnsi="Arial" w:cs="Arial"/>
          <w:sz w:val="20"/>
          <w:szCs w:val="20"/>
        </w:rPr>
      </w:pPr>
    </w:p>
    <w:p w14:paraId="7A0018D2" w14:textId="77777777" w:rsidR="00BE6367" w:rsidRDefault="00C90F6A">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b/>
          <w:bCs/>
          <w:color w:val="000000"/>
          <w:sz w:val="20"/>
          <w:szCs w:val="20"/>
        </w:rPr>
        <w:t>Observación 3 — Peso</w:t>
      </w:r>
    </w:p>
    <w:p w14:paraId="70C5215A" w14:textId="77777777" w:rsidR="00BE6367" w:rsidRDefault="00C90F6A">
      <w:pPr>
        <w:numPr>
          <w:ilvl w:val="0"/>
          <w:numId w:val="55"/>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Texto actual:</w:t>
      </w:r>
      <w:r>
        <w:rPr>
          <w:rFonts w:ascii="Arial" w:eastAsia="Arial" w:hAnsi="Arial" w:cs="Arial"/>
          <w:color w:val="000000"/>
          <w:sz w:val="20"/>
          <w:szCs w:val="20"/>
        </w:rPr>
        <w:t xml:space="preserve"> "El peso del dispositivo no deberá ser superior a 2.259 g."</w:t>
      </w:r>
    </w:p>
    <w:p w14:paraId="559D7DA5" w14:textId="77777777" w:rsidR="00BE6367" w:rsidRDefault="00C90F6A">
      <w:pPr>
        <w:numPr>
          <w:ilvl w:val="0"/>
          <w:numId w:val="55"/>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Justificación:</w:t>
      </w:r>
      <w:r>
        <w:rPr>
          <w:rFonts w:ascii="Arial" w:eastAsia="Arial" w:hAnsi="Arial" w:cs="Arial"/>
          <w:color w:val="000000"/>
          <w:sz w:val="20"/>
          <w:szCs w:val="20"/>
        </w:rPr>
        <w:t xml:space="preserve"> La especificación coincide exactamente con la hoja técnica de una única referencia comercial y carece de justificación funcional: los equipos se instalan de forma fija en pared, mesa o soporte VESA, donde diferencias de 1–3 kg no afectan la operación, el montaje ni la seguridad. Requisitos dimensionales sin sustento funcional restringen artificialmente la participación.</w:t>
      </w:r>
    </w:p>
    <w:p w14:paraId="15E9F7D7" w14:textId="77777777" w:rsidR="00BE6367" w:rsidRDefault="00C90F6A">
      <w:pPr>
        <w:numPr>
          <w:ilvl w:val="0"/>
          <w:numId w:val="55"/>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Redacción propuesta:</w:t>
      </w:r>
      <w:r>
        <w:rPr>
          <w:rFonts w:ascii="Arial" w:eastAsia="Arial" w:hAnsi="Arial" w:cs="Arial"/>
          <w:color w:val="000000"/>
          <w:sz w:val="20"/>
          <w:szCs w:val="20"/>
        </w:rPr>
        <w:t xml:space="preserve"> Eliminar la característica, o en su defecto: "El peso del dispositivo no deberá superar los 6 kg, incluyendo accesorios de montaje suministrados por el fabricante."</w:t>
      </w:r>
    </w:p>
    <w:p w14:paraId="4BD59EDD"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w:t>
      </w:r>
    </w:p>
    <w:p w14:paraId="5D3C611F"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acepta parcialmente la observación. La Entidad, en ejercicio de su autonomía técnica y con fundamento en el análisis de las condiciones reales de instalación de los equipos, precisa que el peso constituye una característica funcional relevante para la seguridad de la instalación, en la medida en que los dispositivos se instalarán en espacios heterogéneos, sobre soportes de pantalla o directamente en superficies de pared —incluyendo muros en drywall no reforzado y superficies en madera—, sin que se contemplen obras de adecuación estructural adicionales. En tales condiciones, el peso del equipo incide directamente en la integridad de las superficies de instalación, la estabilidad del montaje y la versatilidad de reubicación de los equipos entre distintos espacios.</w:t>
      </w:r>
    </w:p>
    <w:p w14:paraId="7066BE1F"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Entidad ajusta la característica para expresar un límite funcional razonable de 3 kg, sin incluir accesorios de montaje, cifra que la Entidad considera adecuada para garantizar la seguridad de la instalación en las condiciones antes descritas, sin restringir la pluralidad de oferentes en el mercado de equipos de esta categoría.</w:t>
      </w:r>
    </w:p>
    <w:p w14:paraId="30989FA0"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lastRenderedPageBreak/>
        <w:t>La característica quedará así: "El peso del dispositivo no deberá ser superior a 3 kg, sin incluir accesorios de montaje", debiendo el proponente acreditar dicho cumplimiento mediante la ficha técnica del fabricante del equipo ofertado.</w:t>
      </w:r>
    </w:p>
    <w:p w14:paraId="6A309A69" w14:textId="77777777" w:rsidR="00BE6367" w:rsidRDefault="00C90F6A">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b/>
          <w:bCs/>
          <w:color w:val="000000"/>
          <w:sz w:val="20"/>
          <w:szCs w:val="20"/>
        </w:rPr>
        <w:t>Observación 4 — Alcance del micrófono (elevación de exigencia)</w:t>
      </w:r>
    </w:p>
    <w:p w14:paraId="65A08D74" w14:textId="77777777" w:rsidR="00BE6367" w:rsidRDefault="00C90F6A">
      <w:pPr>
        <w:numPr>
          <w:ilvl w:val="0"/>
          <w:numId w:val="57"/>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Texto actual:</w:t>
      </w:r>
      <w:r>
        <w:rPr>
          <w:rFonts w:ascii="Arial" w:eastAsia="Arial" w:hAnsi="Arial" w:cs="Arial"/>
          <w:color w:val="000000"/>
          <w:sz w:val="20"/>
          <w:szCs w:val="20"/>
        </w:rPr>
        <w:t xml:space="preserve"> "Deberá contar con alcance mínimo de 4 mts."</w:t>
      </w:r>
    </w:p>
    <w:p w14:paraId="5B5F76C7" w14:textId="77777777" w:rsidR="00BE6367" w:rsidRDefault="00C90F6A">
      <w:pPr>
        <w:numPr>
          <w:ilvl w:val="0"/>
          <w:numId w:val="57"/>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Justificación:</w:t>
      </w:r>
      <w:r>
        <w:rPr>
          <w:rFonts w:ascii="Arial" w:eastAsia="Arial" w:hAnsi="Arial" w:cs="Arial"/>
          <w:color w:val="000000"/>
          <w:sz w:val="20"/>
          <w:szCs w:val="20"/>
        </w:rPr>
        <w:t xml:space="preserve"> Considerando la profundidad típica de las salas de destino, un alcance de captación de 4 m resulta insuficiente y obligaría a depender de accesorios para cumplir la necesidad real. Se solicita elevar el requisito para asegurar cobertura efectiva.</w:t>
      </w:r>
    </w:p>
    <w:p w14:paraId="785C8FC0" w14:textId="77777777" w:rsidR="00BE6367" w:rsidRDefault="00C90F6A">
      <w:pPr>
        <w:numPr>
          <w:ilvl w:val="0"/>
          <w:numId w:val="57"/>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Redacción propuesta:</w:t>
      </w:r>
      <w:r>
        <w:rPr>
          <w:rFonts w:ascii="Arial" w:eastAsia="Arial" w:hAnsi="Arial" w:cs="Arial"/>
          <w:color w:val="000000"/>
          <w:sz w:val="20"/>
          <w:szCs w:val="20"/>
        </w:rPr>
        <w:t xml:space="preserve"> "El arreglo de micrófonos integrado deberá contar con alcance de captación mínimo de 6 metros, ampliable mediante unidades de extensión de audio del mismo fabricante."</w:t>
      </w:r>
    </w:p>
    <w:p w14:paraId="1203A254" w14:textId="77777777" w:rsidR="00BE6367" w:rsidRDefault="00BE6367">
      <w:pPr>
        <w:pBdr>
          <w:top w:val="nil"/>
          <w:left w:val="nil"/>
          <w:bottom w:val="nil"/>
          <w:right w:val="nil"/>
          <w:between w:val="nil"/>
        </w:pBdr>
        <w:spacing w:line="240" w:lineRule="auto"/>
        <w:ind w:left="720"/>
        <w:jc w:val="both"/>
        <w:rPr>
          <w:rFonts w:ascii="Arial" w:eastAsia="Arial" w:hAnsi="Arial" w:cs="Arial"/>
          <w:sz w:val="20"/>
          <w:szCs w:val="20"/>
        </w:rPr>
      </w:pPr>
    </w:p>
    <w:p w14:paraId="30772172"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RESPUESTA A OBSERVACIÓN</w:t>
      </w:r>
      <w:r>
        <w:rPr>
          <w:rFonts w:ascii="Arial" w:eastAsia="Arial" w:hAnsi="Arial" w:cs="Arial"/>
          <w:sz w:val="20"/>
          <w:szCs w:val="20"/>
        </w:rPr>
        <w:t>:</w:t>
      </w:r>
    </w:p>
    <w:p w14:paraId="654ADD57"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Se acepta la observación. La Entidad, con fundamento en el análisis de la profundidad típica de las salas de destino previstas para el presente proceso, precisa que el alcance de captación exigido debe garantizar una cobertura efectiva superior a la inicialmente prevista. En consecuencia, se ajusta la característica para exigir un alcance de captación nativo mínimo de 6 metros en el arreglo de micrófonos integrado en la barra, complementado mediante la unidad de extensión de audio exigida en ítem separado dentro del presente proceso, con el fin de alcanzar una cobertura total mínima de 10 metros.</w:t>
      </w:r>
    </w:p>
    <w:p w14:paraId="041A4506"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La Entidad precisa que la exigencia de que la unidad de extensión corresponda al mismo fabricante del arreglo de micrófonos integrado obedece a la necesidad de garantizar la plena interoperabilidad, sincronización y procesamiento unificado de audio entre ambos componentes, sin perjuicio de que el proponente pueda acreditar, mediante ficha técnica del fabricante, la compatibilidad plena de una solución de extensión de audio de fabricante distinto que satisfaga la misma finalidad funcional de cobertura e interoperabilidad.</w:t>
      </w:r>
    </w:p>
    <w:p w14:paraId="7ED6B8AA"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La característica quedará así: "El arreglo de micrófonos integrado en la barra deberá contar con alcance de captación nativo mínimo de 6 metros, ampliable a una cobertura total mínima de 10 metros mediante la unidad de extensión de audio del mismo fabricante requerida en el presente proceso, o mediante una solución de extensión de fabricante distinto que el proponente acredite como plenamente compatible e interoperable con el arreglo de micrófonos ofertado."</w:t>
      </w:r>
    </w:p>
    <w:p w14:paraId="0E774886" w14:textId="77777777" w:rsidR="00BE6367" w:rsidRDefault="00BE6367">
      <w:pPr>
        <w:pBdr>
          <w:top w:val="nil"/>
          <w:left w:val="nil"/>
          <w:bottom w:val="nil"/>
          <w:right w:val="nil"/>
          <w:between w:val="nil"/>
        </w:pBdr>
        <w:spacing w:line="240" w:lineRule="auto"/>
        <w:jc w:val="both"/>
        <w:rPr>
          <w:rFonts w:ascii="Arial" w:eastAsia="Arial" w:hAnsi="Arial" w:cs="Arial"/>
          <w:sz w:val="20"/>
          <w:szCs w:val="20"/>
        </w:rPr>
      </w:pPr>
    </w:p>
    <w:p w14:paraId="1125EC6A" w14:textId="77777777" w:rsidR="00BE6367" w:rsidRDefault="00C90F6A">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b/>
          <w:bCs/>
          <w:color w:val="000000"/>
          <w:sz w:val="20"/>
          <w:szCs w:val="20"/>
        </w:rPr>
        <w:t>Observación 5 — Zoom</w:t>
      </w:r>
    </w:p>
    <w:p w14:paraId="76EB46AB" w14:textId="77777777" w:rsidR="00BE6367" w:rsidRDefault="00C90F6A">
      <w:pPr>
        <w:numPr>
          <w:ilvl w:val="0"/>
          <w:numId w:val="58"/>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Texto actual:</w:t>
      </w:r>
      <w:r>
        <w:rPr>
          <w:rFonts w:ascii="Arial" w:eastAsia="Arial" w:hAnsi="Arial" w:cs="Arial"/>
          <w:color w:val="000000"/>
          <w:sz w:val="20"/>
          <w:szCs w:val="20"/>
        </w:rPr>
        <w:t xml:space="preserve"> "Deberá soportar mínimo zoom digital de hasta 6x."</w:t>
      </w:r>
    </w:p>
    <w:p w14:paraId="3B02F5BF" w14:textId="77777777" w:rsidR="00BE6367" w:rsidRDefault="00C90F6A">
      <w:pPr>
        <w:numPr>
          <w:ilvl w:val="0"/>
          <w:numId w:val="58"/>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Redacción propuesta:</w:t>
      </w:r>
      <w:r>
        <w:rPr>
          <w:rFonts w:ascii="Arial" w:eastAsia="Arial" w:hAnsi="Arial" w:cs="Arial"/>
          <w:color w:val="000000"/>
          <w:sz w:val="20"/>
          <w:szCs w:val="20"/>
        </w:rPr>
        <w:t xml:space="preserve"> "Deberá soportar acercamiento mínimo equivalente a 6x, mediante zoom digital, zoom híbrido o arquitectura óptica multicámara con lentes telefoto dedicados que provea un resultado igual o superior en resolución efectiva sobre el participante."</w:t>
      </w:r>
    </w:p>
    <w:p w14:paraId="7B9A8251" w14:textId="77777777" w:rsidR="00BE6367" w:rsidRDefault="00C90F6A">
      <w:pPr>
        <w:numPr>
          <w:ilvl w:val="0"/>
          <w:numId w:val="58"/>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Justificación:</w:t>
      </w:r>
      <w:r>
        <w:rPr>
          <w:rFonts w:ascii="Arial" w:eastAsia="Arial" w:hAnsi="Arial" w:cs="Arial"/>
          <w:color w:val="000000"/>
          <w:sz w:val="20"/>
          <w:szCs w:val="20"/>
        </w:rPr>
        <w:t xml:space="preserve"> El zoom digital puro degrada la imagen por interpolación; los lentes telefoto dedicados logran el mismo acercamiento sin pérdida. Restringir el mecanismo (y no el resultado)</w:t>
      </w:r>
    </w:p>
    <w:p w14:paraId="718646C6" w14:textId="77777777" w:rsidR="00BE6367" w:rsidRDefault="00BE6367">
      <w:pPr>
        <w:pBdr>
          <w:top w:val="nil"/>
          <w:left w:val="nil"/>
          <w:bottom w:val="nil"/>
          <w:right w:val="nil"/>
          <w:between w:val="nil"/>
        </w:pBdr>
        <w:spacing w:line="240" w:lineRule="auto"/>
        <w:jc w:val="both"/>
        <w:rPr>
          <w:rFonts w:ascii="Arial" w:eastAsia="Arial" w:hAnsi="Arial" w:cs="Arial"/>
          <w:b/>
          <w:bCs/>
          <w:sz w:val="20"/>
          <w:szCs w:val="20"/>
        </w:rPr>
      </w:pPr>
    </w:p>
    <w:p w14:paraId="475602C1" w14:textId="77777777" w:rsidR="00BE6367" w:rsidRDefault="00C90F6A">
      <w:pPr>
        <w:pBdr>
          <w:top w:val="nil"/>
          <w:left w:val="nil"/>
          <w:bottom w:val="nil"/>
          <w:right w:val="nil"/>
          <w:between w:val="nil"/>
        </w:pBdr>
        <w:spacing w:line="240" w:lineRule="auto"/>
        <w:jc w:val="both"/>
        <w:rPr>
          <w:rFonts w:ascii="Arial" w:eastAsia="Arial" w:hAnsi="Arial" w:cs="Arial"/>
          <w:b/>
          <w:bCs/>
          <w:sz w:val="20"/>
          <w:szCs w:val="20"/>
        </w:rPr>
      </w:pPr>
      <w:r>
        <w:rPr>
          <w:rFonts w:ascii="Arial" w:eastAsia="Arial" w:hAnsi="Arial" w:cs="Arial"/>
          <w:b/>
          <w:bCs/>
          <w:sz w:val="20"/>
          <w:szCs w:val="20"/>
        </w:rPr>
        <w:t>RESPUESTA A OBSERVACIÓN</w:t>
      </w:r>
      <w:r>
        <w:rPr>
          <w:rFonts w:ascii="Arial" w:eastAsia="Arial" w:hAnsi="Arial" w:cs="Arial"/>
          <w:sz w:val="20"/>
          <w:szCs w:val="20"/>
        </w:rPr>
        <w:t>:</w:t>
      </w:r>
      <w:r>
        <w:rPr>
          <w:rFonts w:ascii="Arial" w:eastAsia="Arial" w:hAnsi="Arial" w:cs="Arial"/>
          <w:b/>
          <w:bCs/>
          <w:sz w:val="20"/>
          <w:szCs w:val="20"/>
        </w:rPr>
        <w:t>:</w:t>
      </w:r>
    </w:p>
    <w:p w14:paraId="49B48473"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 xml:space="preserve">Se acepta parcialmente la observación. En aplicación de los principios de libre concurrencia y selección objetiva (art. 5 Ley 1150 de 2007), la Entidad precisa que el acercamiento mínimo de </w:t>
      </w:r>
      <w:r>
        <w:rPr>
          <w:rFonts w:ascii="Arial" w:eastAsia="Arial" w:hAnsi="Arial" w:cs="Arial"/>
          <w:sz w:val="20"/>
          <w:szCs w:val="20"/>
        </w:rPr>
        <w:lastRenderedPageBreak/>
        <w:t>6x podrá lograrse mediante zoom digital o zoom híbrido, ampliando así las alternativas tecnológicas admisibles para el cumplimiento del requisito. No se acepta, sin embargo, la fórmula de "resolución efectiva equivalente sobre el participante" mediante arquitectura óptica multicámara con lentes telefoto dedicados, por las siguientes razones: (i) dicha fórmula no cuenta con una métrica normalizada que permita al comité evaluador verificar objetivamente su cumplimiento, lo cual introduciría un criterio de apreciación subjetiva contrario a los principios de transparencia y selección objetiva (arts. 24 Ley 80 de 1993 y 5 Ley 1150 de 2007); y (ii) los lentes telefoto de encuadre fijo operan típicamente sobre una región limitada de la escena, mientras que la necesidad de la Entidad exige que el acercamiento se encuentre disponible sobre la totalidad del campo de visión mínimo exigido en la ficha técnica, incluidos los participantes ubicados en los extremos laterales del encuadre panorámico.</w:t>
      </w:r>
    </w:p>
    <w:p w14:paraId="2D49FD8E"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La característica quedará así: "Deberá soportar zoom digital o híbrido mínimo de 6x, aplicable sobre la totalidad del campo de visión mínimo exigido en la presente ficha técnica", debiendo el proponente acreditar dicho cumplimiento mediante la ficha técnica del fabricante del equipo ofertado.</w:t>
      </w:r>
    </w:p>
    <w:p w14:paraId="0A90F8E5" w14:textId="77777777" w:rsidR="00BE6367" w:rsidRDefault="00BE6367">
      <w:pPr>
        <w:pBdr>
          <w:top w:val="nil"/>
          <w:left w:val="nil"/>
          <w:bottom w:val="nil"/>
          <w:right w:val="nil"/>
          <w:between w:val="nil"/>
        </w:pBdr>
        <w:spacing w:line="240" w:lineRule="auto"/>
        <w:jc w:val="both"/>
        <w:rPr>
          <w:rFonts w:ascii="Arial" w:eastAsia="Arial" w:hAnsi="Arial" w:cs="Arial"/>
          <w:sz w:val="20"/>
          <w:szCs w:val="20"/>
        </w:rPr>
      </w:pPr>
    </w:p>
    <w:p w14:paraId="76A92787" w14:textId="77777777" w:rsidR="00BE6367" w:rsidRDefault="00C90F6A">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b/>
          <w:bCs/>
          <w:color w:val="000000"/>
          <w:sz w:val="20"/>
          <w:szCs w:val="20"/>
        </w:rPr>
        <w:t>Observación 6 — Configuración de puertos</w:t>
      </w:r>
    </w:p>
    <w:p w14:paraId="525E6B0A" w14:textId="77777777" w:rsidR="00BE6367" w:rsidRDefault="00C90F6A">
      <w:pPr>
        <w:numPr>
          <w:ilvl w:val="0"/>
          <w:numId w:val="59"/>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Texto actual:</w:t>
      </w:r>
      <w:r>
        <w:rPr>
          <w:rFonts w:ascii="Arial" w:eastAsia="Arial" w:hAnsi="Arial" w:cs="Arial"/>
          <w:color w:val="000000"/>
          <w:sz w:val="20"/>
          <w:szCs w:val="20"/>
        </w:rPr>
        <w:t xml:space="preserve"> "…Ethernet (RJ45), HDMI, Wi-Fi (802.11a/b/g/n/ac), 1 x USB-A, 2 x USB-C" y "cable USB-C a USB-A incluido de longitud mínima de 1,5 m".</w:t>
      </w:r>
    </w:p>
    <w:p w14:paraId="0B3D485C" w14:textId="77777777" w:rsidR="00BE6367" w:rsidRDefault="00C90F6A">
      <w:pPr>
        <w:numPr>
          <w:ilvl w:val="0"/>
          <w:numId w:val="59"/>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Justificación:</w:t>
      </w:r>
      <w:r>
        <w:rPr>
          <w:rFonts w:ascii="Arial" w:eastAsia="Arial" w:hAnsi="Arial" w:cs="Arial"/>
          <w:color w:val="000000"/>
          <w:sz w:val="20"/>
          <w:szCs w:val="20"/>
        </w:rPr>
        <w:t xml:space="preserve"> La enumeración exacta de cantidad y tipo de puertos USB reproduce la configuración física de una única referencia. La necesidad funcional es conectividad de red, video, inalámbrica y de periféricos/BYOD.</w:t>
      </w:r>
    </w:p>
    <w:p w14:paraId="490DB036" w14:textId="77777777" w:rsidR="00BE6367" w:rsidRDefault="00C90F6A">
      <w:pPr>
        <w:numPr>
          <w:ilvl w:val="0"/>
          <w:numId w:val="59"/>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Redacción propuesta:</w:t>
      </w:r>
      <w:r>
        <w:rPr>
          <w:rFonts w:ascii="Arial" w:eastAsia="Arial" w:hAnsi="Arial" w:cs="Arial"/>
          <w:color w:val="000000"/>
          <w:sz w:val="20"/>
          <w:szCs w:val="20"/>
        </w:rPr>
        <w:t xml:space="preserve"> "Deberá contar como mínimo con: un (1) puerto Ethernet RJ45; una (1) salida HDMI (se valorará doble salida HDMI para configuración de pantalla dual); Wi-Fi 802.11ac o superior; Bluetooth; y mínimo tres (3) puertos USB en cualquier combinación de Tipo A, Tipo B y/o Tipo C, incluyendo soporte de modo BYOD. Deberán incluirse todos los cables requeridos para la instalación y operación."</w:t>
      </w:r>
    </w:p>
    <w:p w14:paraId="2D2DE9B3" w14:textId="77777777" w:rsidR="00BE6367" w:rsidRDefault="00C90F6A">
      <w:pPr>
        <w:pBdr>
          <w:top w:val="nil"/>
          <w:left w:val="nil"/>
          <w:bottom w:val="nil"/>
          <w:right w:val="nil"/>
          <w:between w:val="nil"/>
        </w:pBdr>
        <w:spacing w:line="240" w:lineRule="auto"/>
        <w:jc w:val="both"/>
        <w:rPr>
          <w:rFonts w:ascii="Arial" w:eastAsia="Arial" w:hAnsi="Arial" w:cs="Arial"/>
          <w:b/>
          <w:bCs/>
          <w:sz w:val="20"/>
          <w:szCs w:val="20"/>
        </w:rPr>
      </w:pPr>
      <w:r>
        <w:rPr>
          <w:rFonts w:ascii="Arial" w:eastAsia="Arial" w:hAnsi="Arial" w:cs="Arial"/>
          <w:b/>
          <w:bCs/>
          <w:sz w:val="20"/>
          <w:szCs w:val="20"/>
        </w:rPr>
        <w:t>RESPUESTA A OBSERVACIÓN</w:t>
      </w:r>
      <w:r>
        <w:rPr>
          <w:rFonts w:ascii="Arial" w:eastAsia="Arial" w:hAnsi="Arial" w:cs="Arial"/>
          <w:sz w:val="20"/>
          <w:szCs w:val="20"/>
        </w:rPr>
        <w:t>:</w:t>
      </w:r>
      <w:r>
        <w:rPr>
          <w:rFonts w:ascii="Arial" w:eastAsia="Arial" w:hAnsi="Arial" w:cs="Arial"/>
          <w:b/>
          <w:bCs/>
          <w:sz w:val="20"/>
          <w:szCs w:val="20"/>
        </w:rPr>
        <w:t>:</w:t>
      </w:r>
    </w:p>
    <w:p w14:paraId="556B48F3" w14:textId="77777777" w:rsidR="00BE6367" w:rsidRDefault="00C90F6A">
      <w:pPr>
        <w:pBdr>
          <w:top w:val="nil"/>
          <w:left w:val="nil"/>
          <w:bottom w:val="nil"/>
          <w:right w:val="nil"/>
          <w:between w:val="nil"/>
        </w:pBdr>
        <w:spacing w:before="240" w:after="240" w:line="240" w:lineRule="auto"/>
        <w:jc w:val="both"/>
        <w:rPr>
          <w:rFonts w:ascii="Arial" w:eastAsia="Arial" w:hAnsi="Arial" w:cs="Arial"/>
          <w:sz w:val="20"/>
          <w:szCs w:val="20"/>
        </w:rPr>
      </w:pPr>
      <w:r>
        <w:rPr>
          <w:rFonts w:ascii="Arial" w:eastAsia="Arial" w:hAnsi="Arial" w:cs="Arial"/>
          <w:sz w:val="20"/>
          <w:szCs w:val="20"/>
        </w:rPr>
        <w:t>Se acepta parcialmente. Le asiste razón al observante en que la necesidad de la Entidad se satisface con la disponibilidad funcional de puertos y no con una distribución específica por tipo, por lo que se ajusta la redacción de los puertos USB y de los cables. No se acepta la inclusión de Bluetooth, por no corresponder a una necesidad identificada por la Entidad y constituir una interfaz inalámbrica obligatoria adicional que amplía innecesariamente la superficie de exposición de equipos destinados a espacios donde se trata información reservada. Tampoco se acepta la expresión "se valorará doble salida HDMI", por cuanto la ficha técnica en el mercado de compras públicas contiene requisitos mínimos de obligatorio cumplimiento y no admite criterios de ponderación; la Entidad requiere una (1) salida de video, siendo admisible que el equipo cuente con salidas adicionales.</w:t>
      </w:r>
    </w:p>
    <w:p w14:paraId="0FDA72B7" w14:textId="77777777" w:rsidR="00BE6367" w:rsidRDefault="00C90F6A">
      <w:pPr>
        <w:pBdr>
          <w:top w:val="nil"/>
          <w:left w:val="nil"/>
          <w:bottom w:val="nil"/>
          <w:right w:val="nil"/>
          <w:between w:val="nil"/>
        </w:pBdr>
        <w:spacing w:before="240" w:after="240" w:line="240" w:lineRule="auto"/>
        <w:jc w:val="both"/>
        <w:rPr>
          <w:rFonts w:ascii="Arial" w:eastAsia="Arial" w:hAnsi="Arial" w:cs="Arial"/>
          <w:sz w:val="20"/>
          <w:szCs w:val="20"/>
        </w:rPr>
      </w:pPr>
      <w:r>
        <w:rPr>
          <w:rFonts w:ascii="Arial" w:eastAsia="Arial" w:hAnsi="Arial" w:cs="Arial"/>
          <w:sz w:val="20"/>
          <w:szCs w:val="20"/>
        </w:rPr>
        <w:t>La característica quedará así: "Deberá contar como mínimo con: un (1) puerto Ethernet RJ45; una (1) salida HDMI; Wi-Fi 802.11a/b/g/n/ac o superior; y mínimo tres (3) puertos USB en cualquier combinación de Tipo A y/o Tipo C, con soporte de modo BYOD. Deberán incluirse todos los cables requeridos para la instalación y operación del equipo."</w:t>
      </w:r>
    </w:p>
    <w:p w14:paraId="4A6F8130" w14:textId="77777777" w:rsidR="00BE6367" w:rsidRDefault="00C90F6A">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b/>
          <w:bCs/>
          <w:color w:val="000000"/>
          <w:sz w:val="20"/>
          <w:szCs w:val="20"/>
        </w:rPr>
        <w:t>Observación 7 — Pantalla táctil de control</w:t>
      </w:r>
    </w:p>
    <w:p w14:paraId="32BBFCCF" w14:textId="77777777" w:rsidR="00BE6367" w:rsidRDefault="00C90F6A">
      <w:pPr>
        <w:numPr>
          <w:ilvl w:val="0"/>
          <w:numId w:val="60"/>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Texto actual:</w:t>
      </w:r>
      <w:r>
        <w:rPr>
          <w:rFonts w:ascii="Arial" w:eastAsia="Arial" w:hAnsi="Arial" w:cs="Arial"/>
          <w:color w:val="000000"/>
          <w:sz w:val="20"/>
          <w:szCs w:val="20"/>
        </w:rPr>
        <w:t xml:space="preserve"> "Deberá contar mínimo con Pantalla táctil de control IP compatible."</w:t>
      </w:r>
    </w:p>
    <w:p w14:paraId="70DE5A07" w14:textId="77777777" w:rsidR="00BE6367" w:rsidRDefault="00C90F6A">
      <w:pPr>
        <w:numPr>
          <w:ilvl w:val="0"/>
          <w:numId w:val="60"/>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Redacción propuesta:</w:t>
      </w:r>
      <w:r>
        <w:rPr>
          <w:rFonts w:ascii="Arial" w:eastAsia="Arial" w:hAnsi="Arial" w:cs="Arial"/>
          <w:color w:val="000000"/>
          <w:sz w:val="20"/>
          <w:szCs w:val="20"/>
        </w:rPr>
        <w:t>"Deberá incluir pantalla táctil de control del mismo fabricante, de mínimo 8 pulgadas, con conexión IP.</w:t>
      </w:r>
    </w:p>
    <w:p w14:paraId="1D30ADAA" w14:textId="77777777" w:rsidR="00BE6367" w:rsidRDefault="00C90F6A">
      <w:pPr>
        <w:pBdr>
          <w:top w:val="nil"/>
          <w:left w:val="nil"/>
          <w:bottom w:val="nil"/>
          <w:right w:val="nil"/>
          <w:between w:val="nil"/>
        </w:pBdr>
        <w:spacing w:line="240" w:lineRule="auto"/>
        <w:jc w:val="both"/>
        <w:rPr>
          <w:rFonts w:ascii="Arial" w:eastAsia="Arial" w:hAnsi="Arial" w:cs="Arial"/>
          <w:sz w:val="20"/>
          <w:szCs w:val="20"/>
        </w:rPr>
      </w:pPr>
      <w:r>
        <w:rPr>
          <w:rFonts w:ascii="Arial" w:eastAsia="Arial" w:hAnsi="Arial" w:cs="Arial"/>
          <w:b/>
          <w:bCs/>
          <w:sz w:val="20"/>
          <w:szCs w:val="20"/>
        </w:rPr>
        <w:t xml:space="preserve">RESPUESTA A OBSERVACIÓN: </w:t>
      </w:r>
      <w:r>
        <w:rPr>
          <w:rFonts w:ascii="Arial" w:eastAsia="Arial" w:hAnsi="Arial" w:cs="Arial"/>
          <w:sz w:val="20"/>
          <w:szCs w:val="20"/>
        </w:rPr>
        <w:t>Se acepta la observación</w:t>
      </w:r>
      <w:r>
        <w:rPr>
          <w:rFonts w:ascii="Arial" w:eastAsia="Arial" w:hAnsi="Arial" w:cs="Arial"/>
          <w:b/>
          <w:bCs/>
          <w:sz w:val="20"/>
          <w:szCs w:val="20"/>
        </w:rPr>
        <w:t>.</w:t>
      </w:r>
      <w:r>
        <w:rPr>
          <w:rFonts w:ascii="Arial" w:eastAsia="Arial" w:hAnsi="Arial" w:cs="Arial"/>
          <w:sz w:val="20"/>
          <w:szCs w:val="20"/>
        </w:rPr>
        <w:t xml:space="preserve"> Le asiste razón al observante en que la característica, tal como está redactada, resulta ambigua respecto del alcance del requisito. Se precisa la redacción para garantizar una experiencia de operación uniforme en los sesenta (60) espacios y la unidad de soporte y garantía de la solución.</w:t>
      </w:r>
    </w:p>
    <w:p w14:paraId="6F83149E" w14:textId="77777777" w:rsidR="00BE6367" w:rsidRDefault="00C90F6A">
      <w:pPr>
        <w:spacing w:before="240" w:after="240" w:line="240" w:lineRule="auto"/>
        <w:jc w:val="both"/>
        <w:rPr>
          <w:rFonts w:ascii="Arial" w:eastAsia="Arial" w:hAnsi="Arial" w:cs="Arial"/>
          <w:i/>
          <w:iCs/>
          <w:sz w:val="20"/>
          <w:szCs w:val="20"/>
        </w:rPr>
      </w:pPr>
      <w:r>
        <w:rPr>
          <w:rFonts w:ascii="Arial" w:eastAsia="Arial" w:hAnsi="Arial" w:cs="Arial"/>
          <w:b/>
          <w:bCs/>
          <w:sz w:val="20"/>
          <w:szCs w:val="20"/>
        </w:rPr>
        <w:lastRenderedPageBreak/>
        <w:t>La característica quedará así:</w:t>
      </w:r>
      <w:r>
        <w:rPr>
          <w:rFonts w:ascii="Arial" w:eastAsia="Arial" w:hAnsi="Arial" w:cs="Arial"/>
          <w:sz w:val="20"/>
          <w:szCs w:val="20"/>
        </w:rPr>
        <w:t xml:space="preserve"> </w:t>
      </w:r>
      <w:r>
        <w:rPr>
          <w:rFonts w:ascii="Arial" w:eastAsia="Arial" w:hAnsi="Arial" w:cs="Arial"/>
          <w:i/>
          <w:iCs/>
          <w:sz w:val="20"/>
          <w:szCs w:val="20"/>
        </w:rPr>
        <w:t>"Deberá incluir pantalla táctil de control del mismo fabricante de la barra, de mínimo 8 pulgadas, con conexión IP y alimentación PoE, integrada nativamente a la solución para la gestión de reuniones con un toque."</w:t>
      </w:r>
    </w:p>
    <w:p w14:paraId="12BAE4A4" w14:textId="77777777" w:rsidR="00BE6367" w:rsidRDefault="00BE6367">
      <w:pPr>
        <w:spacing w:before="240" w:after="240" w:line="240" w:lineRule="auto"/>
        <w:jc w:val="both"/>
        <w:rPr>
          <w:rFonts w:ascii="Arial" w:eastAsia="Arial" w:hAnsi="Arial" w:cs="Arial"/>
          <w:sz w:val="20"/>
          <w:szCs w:val="20"/>
        </w:rPr>
      </w:pPr>
    </w:p>
    <w:p w14:paraId="26E22924" w14:textId="77777777" w:rsidR="00BE6367" w:rsidRDefault="00BE6367">
      <w:pPr>
        <w:pBdr>
          <w:top w:val="nil"/>
          <w:left w:val="nil"/>
          <w:bottom w:val="nil"/>
          <w:right w:val="nil"/>
          <w:between w:val="nil"/>
        </w:pBdr>
        <w:spacing w:line="240" w:lineRule="auto"/>
        <w:jc w:val="both"/>
        <w:rPr>
          <w:rFonts w:ascii="Arial" w:eastAsia="Arial" w:hAnsi="Arial" w:cs="Arial"/>
          <w:sz w:val="20"/>
          <w:szCs w:val="20"/>
        </w:rPr>
      </w:pPr>
    </w:p>
    <w:p w14:paraId="4D512172"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ITEM: MICRÓFONO ALTAVOZ PROFESIONAL</w:t>
      </w:r>
    </w:p>
    <w:p w14:paraId="3C7CE450" w14:textId="77777777" w:rsidR="00BE6367" w:rsidRDefault="00C90F6A">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color w:val="000000"/>
          <w:sz w:val="20"/>
          <w:szCs w:val="20"/>
        </w:rPr>
        <w:t>Enviamos las siguientes observaciones técnicas relacionadas con el item “MICRÓFONO ALTAVOZ PROFESIONAL”</w:t>
      </w:r>
    </w:p>
    <w:p w14:paraId="1E4F98FF" w14:textId="77777777" w:rsidR="00BE6367" w:rsidRDefault="00C90F6A">
      <w:pPr>
        <w:spacing w:before="280" w:after="280"/>
        <w:jc w:val="both"/>
        <w:rPr>
          <w:rFonts w:ascii="Arial" w:eastAsia="Arial" w:hAnsi="Arial" w:cs="Arial"/>
          <w:sz w:val="20"/>
          <w:szCs w:val="20"/>
        </w:rPr>
      </w:pPr>
      <w:r>
        <w:rPr>
          <w:rFonts w:ascii="Arial" w:eastAsia="Arial" w:hAnsi="Arial" w:cs="Arial"/>
          <w:b/>
          <w:bCs/>
          <w:sz w:val="20"/>
          <w:szCs w:val="20"/>
        </w:rPr>
        <w:t>Observación 9 — Reformulación del objeto</w:t>
      </w:r>
    </w:p>
    <w:p w14:paraId="6EAD307F" w14:textId="77777777" w:rsidR="00BE6367" w:rsidRDefault="00C90F6A">
      <w:pPr>
        <w:numPr>
          <w:ilvl w:val="0"/>
          <w:numId w:val="61"/>
        </w:numPr>
        <w:spacing w:before="280" w:after="0" w:line="240" w:lineRule="auto"/>
        <w:jc w:val="both"/>
        <w:rPr>
          <w:rFonts w:ascii="Arial" w:eastAsia="Arial" w:hAnsi="Arial" w:cs="Arial"/>
        </w:rPr>
      </w:pPr>
      <w:r>
        <w:rPr>
          <w:rFonts w:ascii="Arial" w:eastAsia="Arial" w:hAnsi="Arial" w:cs="Arial"/>
          <w:i/>
          <w:iCs/>
          <w:sz w:val="20"/>
          <w:szCs w:val="20"/>
        </w:rPr>
        <w:t>Texto actual:</w:t>
      </w:r>
      <w:r>
        <w:rPr>
          <w:rFonts w:ascii="Arial" w:eastAsia="Arial" w:hAnsi="Arial" w:cs="Arial"/>
          <w:sz w:val="20"/>
          <w:szCs w:val="20"/>
        </w:rPr>
        <w:t xml:space="preserve"> Altavoz con micrófono tipo conferencia, dimensiones no superiores a 136 × 55 mm, mínimo 4 micrófonos, altavoz de diámetro mínimo 60 mm, conexión Cat6/RJ45 con adaptador RJ45 a USB-C, cable USB de 0,5 m, IPX2.</w:t>
      </w:r>
    </w:p>
    <w:p w14:paraId="052A6B61" w14:textId="77777777" w:rsidR="00BE6367" w:rsidRDefault="00C90F6A">
      <w:pPr>
        <w:numPr>
          <w:ilvl w:val="0"/>
          <w:numId w:val="61"/>
        </w:numPr>
        <w:spacing w:after="0" w:line="240" w:lineRule="auto"/>
        <w:jc w:val="both"/>
        <w:rPr>
          <w:rFonts w:ascii="Calibri" w:eastAsia="Calibri" w:hAnsi="Calibri" w:cs="Calibri"/>
        </w:rPr>
      </w:pPr>
      <w:r>
        <w:rPr>
          <w:rFonts w:ascii="Arial" w:eastAsia="Arial" w:hAnsi="Arial" w:cs="Arial"/>
          <w:i/>
          <w:iCs/>
          <w:sz w:val="20"/>
          <w:szCs w:val="20"/>
        </w:rPr>
        <w:t>Justificación:</w:t>
      </w:r>
      <w:r>
        <w:rPr>
          <w:rFonts w:ascii="Arial" w:eastAsia="Arial" w:hAnsi="Arial" w:cs="Arial"/>
          <w:sz w:val="20"/>
          <w:szCs w:val="20"/>
        </w:rPr>
        <w:t xml:space="preserve"> La ficha describe, dimensión por dimensión y accesorio por accesorio (incluido el adaptador RJ45–USB-C), el accesorio propietario de un único fabricante. La necesidad funcional real —expresamente descrita en la arquitectura de la solución— es </w:t>
      </w:r>
      <w:r>
        <w:rPr>
          <w:rFonts w:ascii="Arial" w:eastAsia="Arial" w:hAnsi="Arial" w:cs="Arial"/>
          <w:b/>
          <w:bCs/>
          <w:sz w:val="20"/>
          <w:szCs w:val="20"/>
        </w:rPr>
        <w:t>extender la cobertura de captación y reproducción de audio hacia el fondo de la sala</w:t>
      </w:r>
      <w:r>
        <w:rPr>
          <w:rFonts w:ascii="Arial" w:eastAsia="Arial" w:hAnsi="Arial" w:cs="Arial"/>
          <w:sz w:val="20"/>
          <w:szCs w:val="20"/>
        </w:rPr>
        <w:t>. Cada fabricante resuelve esa necesidad con arquitecturas distintas e igualmente válidas: altavoces-micrófono de mesa, micrófonos de expansión alámbricos o inalámbricos, o microfonía y parlantería de techo, todas con mezcla nativa con la barra. Fijar el factor de forma de un accesorio propietario impide ofertar soluciones funcionalmente iguales o superiores (la microfonía de techo, por ejemplo, libera la mesa y evita manipulación del equipo en salas de audiencia con mobiliario fijo y cadena de custodia de equipos).</w:t>
      </w:r>
    </w:p>
    <w:p w14:paraId="476629CD" w14:textId="77777777" w:rsidR="00BE6367" w:rsidRDefault="00C90F6A">
      <w:pPr>
        <w:numPr>
          <w:ilvl w:val="0"/>
          <w:numId w:val="61"/>
        </w:numPr>
        <w:spacing w:after="280" w:line="240" w:lineRule="auto"/>
        <w:jc w:val="both"/>
        <w:rPr>
          <w:rFonts w:ascii="Calibri" w:eastAsia="Calibri" w:hAnsi="Calibri" w:cs="Calibri"/>
        </w:rPr>
      </w:pPr>
      <w:r>
        <w:rPr>
          <w:rFonts w:ascii="Arial" w:eastAsia="Arial" w:hAnsi="Arial" w:cs="Arial"/>
          <w:i/>
          <w:iCs/>
          <w:sz w:val="20"/>
          <w:szCs w:val="20"/>
        </w:rPr>
        <w:t>Redacción propuesta:</w:t>
      </w:r>
      <w:r>
        <w:rPr>
          <w:rFonts w:ascii="Arial" w:eastAsia="Arial" w:hAnsi="Arial" w:cs="Arial"/>
          <w:sz w:val="20"/>
          <w:szCs w:val="20"/>
        </w:rPr>
        <w:t xml:space="preserve"> "UNIDAD DE EXTENSIÓN DE AUDIO: por cada barra de videoconferencia se deberá suministrar una (1) unidad de extensión de audio </w:t>
      </w:r>
      <w:r>
        <w:rPr>
          <w:rFonts w:ascii="Arial" w:eastAsia="Arial" w:hAnsi="Arial" w:cs="Arial"/>
          <w:b/>
          <w:bCs/>
          <w:sz w:val="20"/>
          <w:szCs w:val="20"/>
        </w:rPr>
        <w:t>del mismo fabricante de la barra</w:t>
      </w:r>
      <w:r>
        <w:rPr>
          <w:rFonts w:ascii="Arial" w:eastAsia="Arial" w:hAnsi="Arial" w:cs="Arial"/>
          <w:sz w:val="20"/>
          <w:szCs w:val="20"/>
        </w:rPr>
        <w:t>, con integración y mezcla nativa certificada por dicho fabricante, en cualquiera de las siguientes arquitecturas: (a) altavoz-micrófono de extensión; (b) micrófono(s) de expansión alámbrico(s) o inalámbrico(s); o (c) micrófono de techo con altavoz asociado. La solución conjunta (barra + extensión) deberá garantizar cobertura total de captación de la sala.</w:t>
      </w:r>
    </w:p>
    <w:p w14:paraId="355E74D7" w14:textId="77777777" w:rsidR="00BE6367" w:rsidRDefault="00C90F6A">
      <w:pPr>
        <w:pBdr>
          <w:top w:val="nil"/>
          <w:left w:val="nil"/>
          <w:bottom w:val="nil"/>
          <w:right w:val="nil"/>
          <w:between w:val="nil"/>
        </w:pBdr>
        <w:spacing w:line="240" w:lineRule="auto"/>
        <w:jc w:val="both"/>
        <w:rPr>
          <w:rFonts w:ascii="Arial" w:eastAsia="Arial" w:hAnsi="Arial" w:cs="Arial"/>
          <w:b/>
          <w:bCs/>
          <w:sz w:val="20"/>
          <w:szCs w:val="20"/>
        </w:rPr>
      </w:pPr>
      <w:r>
        <w:rPr>
          <w:rFonts w:ascii="Arial" w:eastAsia="Arial" w:hAnsi="Arial" w:cs="Arial"/>
          <w:b/>
          <w:bCs/>
          <w:sz w:val="20"/>
          <w:szCs w:val="20"/>
        </w:rPr>
        <w:t>RESPUESTA A OBSERVACIÓN:</w:t>
      </w:r>
    </w:p>
    <w:p w14:paraId="03B52E02"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Se acepta parcialmente la observación. En aplicación de los principios de libre concurrencia y selección objetiva (art. 5 Ley 1150 de 2007), la Entidad acoge la reformulación del objeto como "unidad de extensión de audio", eliminando las características dimensionales y de accesorios de conexión específicos (dimensiones exactas, diámetro de altavoz, tipo de adaptador y longitud de cable), y ajustando el requisito a criterios funcionales verificables.</w:t>
      </w:r>
    </w:p>
    <w:p w14:paraId="58B2A44B"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No se aceptan, sin embargo, las arquitecturas alternativas propuestas en los literales (b) y (c), por cuanto: (i) la necesidad de la Entidad comprende tanto la extensión de la captación como de la reproducción de audio en un mismo punto de la sala, función que no satisfacen los micrófonos de expansión sin altavoz integrado; y (ii) los espacios de destino no contemplan intervenciones de infraestructura, por lo que se requiere una unidad de instalación libre sobre mesa, sin obras civiles, cableado permanente ni elementos de amplificación adicionales, que además permita su reubicación ante eventuales reorganizaciones de los espacios.</w:t>
      </w:r>
    </w:p>
    <w:p w14:paraId="5855B978"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 xml:space="preserve">La Entidad precisa que la exigencia de que la unidad de extensión corresponda al mismo fabricante de la barra de videoconferencia, con mezcla de sonido nativa certificada por dicho fabricante, obedece a que dicha integración depende de protocolos propietarios de procesamiento y sincronización de audio entre múltiples fuentes de captación (cancelación de eco acústico compartida entre la barra y su extensión), que usualmente no son interoperables entre fabricantes distintos sin una certificación específica. No obstante, el proponente podrá ofertar una solución de fabricante distinto al de la barra principal, siempre que acredite, </w:t>
      </w:r>
      <w:r>
        <w:rPr>
          <w:rFonts w:ascii="Arial" w:eastAsia="Arial" w:hAnsi="Arial" w:cs="Arial"/>
          <w:sz w:val="20"/>
          <w:szCs w:val="20"/>
        </w:rPr>
        <w:lastRenderedPageBreak/>
        <w:t>mediante certificación o ficha técnica del fabricante, su plena compatibilidad e interoperabilidad de mezcla nativa de audio con la barra de videoconferencia ofertada.</w:t>
      </w:r>
    </w:p>
    <w:p w14:paraId="6BB923D5" w14:textId="77777777" w:rsidR="00BE6367" w:rsidRDefault="00C90F6A">
      <w:pPr>
        <w:spacing w:before="240" w:after="240" w:line="240" w:lineRule="auto"/>
        <w:jc w:val="both"/>
        <w:rPr>
          <w:rFonts w:ascii="Arial" w:eastAsia="Arial" w:hAnsi="Arial" w:cs="Arial"/>
          <w:i/>
          <w:iCs/>
          <w:sz w:val="20"/>
          <w:szCs w:val="20"/>
        </w:rPr>
      </w:pPr>
      <w:r>
        <w:rPr>
          <w:rFonts w:ascii="Arial" w:eastAsia="Arial" w:hAnsi="Arial" w:cs="Arial"/>
          <w:sz w:val="20"/>
          <w:szCs w:val="20"/>
        </w:rPr>
        <w:t xml:space="preserve">La característica quedará así: </w:t>
      </w:r>
      <w:r>
        <w:rPr>
          <w:rFonts w:ascii="Arial" w:eastAsia="Arial" w:hAnsi="Arial" w:cs="Arial"/>
          <w:i/>
          <w:iCs/>
          <w:sz w:val="20"/>
          <w:szCs w:val="20"/>
        </w:rPr>
        <w:t>"UNIDAD DE EXTENSIÓN DE AUDIO: por cada barra de videoconferencia se deberá suministrar una (1) unidad de extensión de audio del mismo fabricante de la barra, o de un fabricante distinto cuya compatibilidad e interoperabilidad de mezcla nativa de audio con la barra sea certificada por el fabricante correspondiente, que integre en un único dispositivo la captación (mínimo cuatro (4) micrófonos omnidireccionales con reducción de ruido) y la reproducción (altavoz integrado), de instalación libre sobre mesa mediante conexión por cable único, sin obras civiles ni cableado permanente. La solución conjunta (barra + unidad de extensión) deberá garantizar cobertura total de captación y reproducción de la sala, con alcance combinado mínimo de 10 metros."</w:t>
      </w:r>
    </w:p>
    <w:p w14:paraId="38A08A28" w14:textId="77777777" w:rsidR="00BE6367" w:rsidRDefault="00BE6367">
      <w:pPr>
        <w:pBdr>
          <w:top w:val="nil"/>
          <w:left w:val="nil"/>
          <w:bottom w:val="nil"/>
          <w:right w:val="nil"/>
          <w:between w:val="nil"/>
        </w:pBdr>
        <w:spacing w:line="240" w:lineRule="auto"/>
        <w:jc w:val="both"/>
        <w:rPr>
          <w:rFonts w:ascii="Arial" w:eastAsia="Arial" w:hAnsi="Arial" w:cs="Arial"/>
          <w:sz w:val="20"/>
          <w:szCs w:val="20"/>
        </w:rPr>
      </w:pPr>
    </w:p>
    <w:p w14:paraId="01E0EA0A" w14:textId="77777777" w:rsidR="00BE6367" w:rsidRDefault="00C90F6A">
      <w:pPr>
        <w:pBdr>
          <w:top w:val="nil"/>
          <w:left w:val="nil"/>
          <w:bottom w:val="nil"/>
          <w:right w:val="nil"/>
          <w:between w:val="nil"/>
        </w:pBdr>
        <w:spacing w:line="240" w:lineRule="auto"/>
        <w:jc w:val="both"/>
        <w:rPr>
          <w:rFonts w:ascii="Arial" w:eastAsia="Arial" w:hAnsi="Arial" w:cs="Arial"/>
          <w:b/>
          <w:bCs/>
          <w:color w:val="000000"/>
          <w:sz w:val="20"/>
          <w:szCs w:val="20"/>
        </w:rPr>
      </w:pPr>
      <w:r>
        <w:rPr>
          <w:rFonts w:ascii="Arial" w:eastAsia="Arial" w:hAnsi="Arial" w:cs="Arial"/>
          <w:b/>
          <w:bCs/>
          <w:color w:val="000000"/>
          <w:sz w:val="20"/>
          <w:szCs w:val="20"/>
        </w:rPr>
        <w:t xml:space="preserve">Observación 10 — Características dimensionales y de protección </w:t>
      </w:r>
    </w:p>
    <w:p w14:paraId="2C7F3C61" w14:textId="77777777" w:rsidR="00BE6367" w:rsidRDefault="00C90F6A">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i/>
          <w:iCs/>
          <w:color w:val="000000"/>
          <w:sz w:val="20"/>
          <w:szCs w:val="20"/>
        </w:rPr>
        <w:t>Solicitud:</w:t>
      </w:r>
      <w:r>
        <w:rPr>
          <w:rFonts w:ascii="Arial" w:eastAsia="Arial" w:hAnsi="Arial" w:cs="Arial"/>
          <w:color w:val="000000"/>
          <w:sz w:val="20"/>
          <w:szCs w:val="20"/>
        </w:rPr>
        <w:t xml:space="preserve"> Eliminar los topes dimensionales (136 mm × 55 mm), el diámetro mínimo del altavoz (60 mm) y la clasificación IPX2, por carecer de incidencia funcional en un dispositivo de uso en interiores; sustituir por: "El dispositivo deberá contar con mínimo cuatro (4) micrófonos con captación omnidireccional o beamforming, reproducción de voz de alta inteligibilidad y conexión alámbrica o inalámbrica soportada nativamente por el fabricante de la barra."</w:t>
      </w:r>
    </w:p>
    <w:p w14:paraId="283C184E" w14:textId="77777777" w:rsidR="00BE6367" w:rsidRDefault="00C90F6A">
      <w:pPr>
        <w:pBdr>
          <w:top w:val="nil"/>
          <w:left w:val="nil"/>
          <w:bottom w:val="nil"/>
          <w:right w:val="nil"/>
          <w:between w:val="nil"/>
        </w:pBdr>
        <w:spacing w:line="240" w:lineRule="auto"/>
        <w:jc w:val="both"/>
        <w:rPr>
          <w:rFonts w:ascii="Arial" w:eastAsia="Arial" w:hAnsi="Arial" w:cs="Arial"/>
          <w:b/>
          <w:bCs/>
          <w:sz w:val="20"/>
          <w:szCs w:val="20"/>
        </w:rPr>
      </w:pPr>
      <w:r>
        <w:rPr>
          <w:rFonts w:ascii="Arial" w:eastAsia="Arial" w:hAnsi="Arial" w:cs="Arial"/>
          <w:b/>
          <w:bCs/>
          <w:sz w:val="20"/>
          <w:szCs w:val="20"/>
        </w:rPr>
        <w:t>RESPUESTA A OBSERVACIÓN:</w:t>
      </w:r>
    </w:p>
    <w:p w14:paraId="247D2242"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Se acepta parcialmente la observación, en términos coherentes con lo ya definido por la Entidad en la respuesta a la observación relativa a la unidad de extensión de audio. En consecuencia:</w:t>
      </w:r>
    </w:p>
    <w:p w14:paraId="6F98011C"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Se eliminan los topes dimensionales (136×55 mm) y el diámetro mínimo del altavoz (60 mm), en línea con el ajuste ya incorporado a la característica de la unidad de extensión de audio, la cual se redefine en términos funcionales y no de configuración física exacta.</w:t>
      </w:r>
    </w:p>
    <w:p w14:paraId="356F85C9"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Se amplía la tecnología de captación admisible, aceptando micrófonos con captación omnidireccional o beamforming, sin que ello modifique la exigencia ya establecida de mínimo cuatro (4) micrófonos con reducción de ruido.</w:t>
      </w:r>
    </w:p>
    <w:p w14:paraId="126C382E"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No se acepta admitir conexión inalámbrica como alternativa a la conexión alámbrica. La Entidad mantiene la exigencia de conexión por cable único ya prevista, por cuanto dicha conexión garantiza la estabilidad, confiabilidad y ausencia de interferencia en la transmisión de audio entre la barra y su unidad de extensión.</w:t>
      </w:r>
    </w:p>
    <w:p w14:paraId="5CB3ED1D"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No se acepta la eliminación de la clasificación de protección IPX2. La Entidad mantiene este requisito, por cuanto dicha clasificación contribuye a la protección del equipo frente a la exposición ordinaria a líquidos (goteo, derrames accidentales de bebidas u otros elementos propios del uso cotidiano en salas de reunión y audiencia), preservando así su adecuado funcionamiento y vida útil durante el tiempo de garantía y operación previsto para el presente proceso.</w:t>
      </w:r>
    </w:p>
    <w:p w14:paraId="7D9C5869"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Se mantiene la exigencia de que la unidad de extensión integre en un único dispositivo tanto la captación como la reproducción de audio (altavoz integrado), por corresponder a una necesidad funcional ya sustentada por la Entidad, de manera que la característica de "reproducción de voz de alta inteligibilidad" propuesta se entenderá referida a las prestaciones de dicho altavoz integrado, y no como una alternativa que permita prescindir de este.</w:t>
      </w:r>
    </w:p>
    <w:p w14:paraId="71F89D0B" w14:textId="77777777" w:rsidR="00BE6367" w:rsidRDefault="00C90F6A">
      <w:pPr>
        <w:spacing w:before="240" w:after="240" w:line="240" w:lineRule="auto"/>
        <w:jc w:val="both"/>
        <w:rPr>
          <w:rFonts w:ascii="Arial" w:eastAsia="Arial" w:hAnsi="Arial" w:cs="Arial"/>
          <w:i/>
          <w:iCs/>
          <w:sz w:val="20"/>
          <w:szCs w:val="20"/>
        </w:rPr>
      </w:pPr>
      <w:r>
        <w:rPr>
          <w:rFonts w:ascii="Arial" w:eastAsia="Arial" w:hAnsi="Arial" w:cs="Arial"/>
          <w:sz w:val="20"/>
          <w:szCs w:val="20"/>
        </w:rPr>
        <w:t xml:space="preserve">La característica quedará así: </w:t>
      </w:r>
      <w:r>
        <w:rPr>
          <w:rFonts w:ascii="Arial" w:eastAsia="Arial" w:hAnsi="Arial" w:cs="Arial"/>
          <w:i/>
          <w:iCs/>
          <w:sz w:val="20"/>
          <w:szCs w:val="20"/>
        </w:rPr>
        <w:t xml:space="preserve">"UNIDAD DE EXTENSIÓN DE AUDIO: por cada barra de videoconferencia se deberá suministrar una (1) unidad de extensión de audio del mismo fabricante de la barra, o de un fabricante distinto cuya compatibilidad e interoperabilidad de mezcla nativa de audio con la barra sea certificada por el fabricante correspondiente, que integre en un único dispositivo la captación (mínimo cuatro (4) micrófonos con captación omnidireccional o beamforming, con reducción de ruido) y la reproducción (altavoz integrado, de alta inteligibilidad de voz), de instalación libre sobre mesa mediante conexión por cable único, sin obras civiles ni cableado permanente, con clasificación de protección mínima IPX2. </w:t>
      </w:r>
      <w:r>
        <w:rPr>
          <w:rFonts w:ascii="Arial" w:eastAsia="Arial" w:hAnsi="Arial" w:cs="Arial"/>
          <w:i/>
          <w:iCs/>
          <w:sz w:val="20"/>
          <w:szCs w:val="20"/>
        </w:rPr>
        <w:lastRenderedPageBreak/>
        <w:t>La solución conjunta (barra + unidad de extensión) deberá garantizar cobertura total de captación y reproducción de la sala, con alcance combinado mínimo de 10 metros."</w:t>
      </w:r>
    </w:p>
    <w:p w14:paraId="69AD9439" w14:textId="77777777" w:rsidR="00BE6367" w:rsidRDefault="00BE6367">
      <w:pPr>
        <w:pBdr>
          <w:top w:val="nil"/>
          <w:left w:val="nil"/>
          <w:bottom w:val="nil"/>
          <w:right w:val="nil"/>
          <w:between w:val="nil"/>
        </w:pBdr>
        <w:spacing w:line="240" w:lineRule="auto"/>
        <w:jc w:val="both"/>
        <w:rPr>
          <w:rFonts w:ascii="Arial" w:eastAsia="Arial" w:hAnsi="Arial" w:cs="Arial"/>
          <w:sz w:val="20"/>
          <w:szCs w:val="20"/>
        </w:rPr>
      </w:pPr>
    </w:p>
    <w:p w14:paraId="431C37D5" w14:textId="77777777" w:rsidR="00BE6367" w:rsidRPr="00AA7016" w:rsidRDefault="00C90F6A">
      <w:pPr>
        <w:jc w:val="both"/>
        <w:rPr>
          <w:rFonts w:ascii="Arial" w:eastAsia="Arial" w:hAnsi="Arial" w:cs="Arial"/>
          <w:b/>
          <w:bCs/>
          <w:sz w:val="20"/>
          <w:szCs w:val="20"/>
          <w:lang w:val="pt-PT"/>
        </w:rPr>
      </w:pPr>
      <w:r w:rsidRPr="00AA7016">
        <w:rPr>
          <w:rFonts w:ascii="Arial" w:eastAsia="Arial" w:hAnsi="Arial" w:cs="Arial"/>
          <w:b/>
          <w:bCs/>
          <w:sz w:val="20"/>
          <w:szCs w:val="20"/>
          <w:lang w:val="pt-PT"/>
        </w:rPr>
        <w:t>ITEM: COMPUTADOR DE ESCRITORIO - AIO AVANZADO</w:t>
      </w:r>
    </w:p>
    <w:p w14:paraId="2C96BA26" w14:textId="77777777" w:rsidR="00BE6367" w:rsidRPr="00AA7016" w:rsidRDefault="00BE6367">
      <w:pPr>
        <w:jc w:val="both"/>
        <w:rPr>
          <w:rFonts w:ascii="Arial" w:eastAsia="Arial" w:hAnsi="Arial" w:cs="Arial"/>
          <w:b/>
          <w:bCs/>
          <w:sz w:val="20"/>
          <w:szCs w:val="20"/>
          <w:lang w:val="pt-PT"/>
        </w:rPr>
      </w:pPr>
    </w:p>
    <w:p w14:paraId="2D70207E"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11– COMPUTADOR DE ESCRITORIO - AIO AVANZADO (Memoria RAM):</w:t>
      </w:r>
    </w:p>
    <w:p w14:paraId="419B4FB3"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Respecto al requerimiento que establece </w:t>
      </w:r>
      <w:r>
        <w:rPr>
          <w:rFonts w:ascii="Arial" w:eastAsia="Arial" w:hAnsi="Arial" w:cs="Arial"/>
          <w:b/>
          <w:bCs/>
          <w:sz w:val="20"/>
          <w:szCs w:val="20"/>
        </w:rPr>
        <w:t>"Memoria RAM 16 GB DDR5, mínimo 6400 MT/s con capacidad de expansión a 64 GB"</w:t>
      </w:r>
      <w:r>
        <w:rPr>
          <w:rFonts w:ascii="Arial" w:eastAsia="Arial" w:hAnsi="Arial" w:cs="Arial"/>
          <w:sz w:val="20"/>
          <w:szCs w:val="20"/>
        </w:rPr>
        <w:t>, se solicita a la entidad validar si es posible considerar velocidades de memoria inferiores, como 5200 MT/s, teniendo en cuenta que esta frecuencia corresponde a una configuración ampliamente utilizada en equipos corporativos de última generación y mantiene adecuados niveles de rendimiento y estabilidad.</w:t>
      </w:r>
    </w:p>
    <w:p w14:paraId="7E4D5C44" w14:textId="77777777" w:rsidR="00BE6367" w:rsidRDefault="00C90F6A">
      <w:pPr>
        <w:jc w:val="both"/>
        <w:rPr>
          <w:rFonts w:ascii="Arial" w:eastAsia="Arial" w:hAnsi="Arial" w:cs="Arial"/>
          <w:sz w:val="20"/>
          <w:szCs w:val="20"/>
        </w:rPr>
      </w:pPr>
      <w:r>
        <w:rPr>
          <w:rFonts w:ascii="Arial" w:eastAsia="Arial" w:hAnsi="Arial" w:cs="Arial"/>
          <w:sz w:val="20"/>
          <w:szCs w:val="20"/>
        </w:rPr>
        <w:t>Lo anterior permitiría una mayor participación de fabricantes y referencias disponibles en el mercado, sin afectar la capacidad de expansión ni el desempeño requerido para la solución.</w:t>
      </w:r>
    </w:p>
    <w:p w14:paraId="78D99F86" w14:textId="77777777" w:rsidR="00BE6367" w:rsidRDefault="00BE6367">
      <w:pPr>
        <w:jc w:val="both"/>
        <w:rPr>
          <w:rFonts w:ascii="Arial" w:eastAsia="Arial" w:hAnsi="Arial" w:cs="Arial"/>
          <w:sz w:val="20"/>
          <w:szCs w:val="20"/>
        </w:rPr>
      </w:pPr>
    </w:p>
    <w:p w14:paraId="4FC9DD93"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0E464106" w14:textId="77777777" w:rsidR="00BE6367" w:rsidRDefault="00C90F6A">
      <w:pPr>
        <w:jc w:val="both"/>
        <w:rPr>
          <w:rFonts w:ascii="Arial" w:eastAsia="Arial" w:hAnsi="Arial" w:cs="Arial"/>
          <w:sz w:val="20"/>
          <w:szCs w:val="20"/>
        </w:rPr>
      </w:pPr>
      <w:r>
        <w:rPr>
          <w:rFonts w:ascii="Arial" w:eastAsia="Arial" w:hAnsi="Arial" w:cs="Arial"/>
          <w:sz w:val="20"/>
          <w:szCs w:val="20"/>
        </w:rPr>
        <w:t>No se acoge la observación. La elección de memoria DDR5-6400 MT/s en los equipos All-in-One responde a un objetivo de largo plazo que garantiza un mayor ancho de banda frente a configuraciones de DDR5-5200 y DDR5-5600 MT/s. En términos técnicos, la velocidad de 6400 MT/s representa aproximadamente un 20% a 15% más de tasa de transferencia, lo que favorece el movimiento de datos entre CPU y memoria en cargas sensibles al subsistema de memoria.</w:t>
      </w:r>
    </w:p>
    <w:p w14:paraId="383936E2" w14:textId="77777777" w:rsidR="00BE6367" w:rsidRDefault="00C90F6A">
      <w:pPr>
        <w:jc w:val="both"/>
        <w:rPr>
          <w:rFonts w:ascii="Arial" w:eastAsia="Arial" w:hAnsi="Arial" w:cs="Arial"/>
          <w:sz w:val="20"/>
          <w:szCs w:val="20"/>
        </w:rPr>
      </w:pPr>
      <w:r>
        <w:rPr>
          <w:rFonts w:ascii="Arial" w:eastAsia="Arial" w:hAnsi="Arial" w:cs="Arial"/>
          <w:sz w:val="20"/>
          <w:szCs w:val="20"/>
        </w:rPr>
        <w:t>En la práctica, este beneficio se refleja en escenarios de multitarea intensiva, colaboración con múltiples aplicaciones abiertas, videoconferencias, navegación exigente, analítica ligera y creación de contenido de oficina, donde una memoria más rápida contribuye a una mejor capacidad de respuesta del sistema.</w:t>
      </w:r>
    </w:p>
    <w:p w14:paraId="05FB3C52" w14:textId="77777777" w:rsidR="00BE6367" w:rsidRDefault="00C90F6A">
      <w:pPr>
        <w:jc w:val="both"/>
        <w:rPr>
          <w:rFonts w:ascii="Arial" w:eastAsia="Arial" w:hAnsi="Arial" w:cs="Arial"/>
          <w:sz w:val="20"/>
          <w:szCs w:val="20"/>
        </w:rPr>
      </w:pPr>
      <w:r>
        <w:rPr>
          <w:rFonts w:ascii="Arial" w:eastAsia="Arial" w:hAnsi="Arial" w:cs="Arial"/>
          <w:sz w:val="20"/>
          <w:szCs w:val="20"/>
        </w:rPr>
        <w:t>La velocidad de operación solicitada garantiza a la Entidad contar con la versión más actualizada disponible en el mercado, lo que brinda seguridad sobre la vigencia tecnológica y confiabilidad de la inversión en el tiempo.</w:t>
      </w:r>
    </w:p>
    <w:p w14:paraId="1245BC75" w14:textId="77777777" w:rsidR="00BE6367" w:rsidRDefault="00C90F6A">
      <w:pPr>
        <w:jc w:val="both"/>
        <w:rPr>
          <w:rFonts w:ascii="Arial" w:eastAsia="Arial" w:hAnsi="Arial" w:cs="Arial"/>
          <w:sz w:val="20"/>
          <w:szCs w:val="20"/>
        </w:rPr>
      </w:pPr>
      <w:r>
        <w:rPr>
          <w:rFonts w:ascii="Arial" w:eastAsia="Arial" w:hAnsi="Arial" w:cs="Arial"/>
          <w:sz w:val="20"/>
          <w:szCs w:val="20"/>
        </w:rPr>
        <w:t>En consecuencia, se mantiene el requisito de memoria RAM DDR5 de mínimo 6400 MT/s con capacidad de expansión a 64 GB, considerando que esta especificación corresponde al nivel de desempeño esperado para el perfil de equipo requerido y resulta acorde con las plataformas tecnológicas de última generación disponibles en este segmento.</w:t>
      </w:r>
    </w:p>
    <w:p w14:paraId="185B7D7E" w14:textId="77777777" w:rsidR="00BE6367" w:rsidRDefault="00BE6367">
      <w:pPr>
        <w:jc w:val="both"/>
        <w:rPr>
          <w:rFonts w:ascii="Arial" w:eastAsia="Arial" w:hAnsi="Arial" w:cs="Arial"/>
          <w:b/>
          <w:bCs/>
          <w:sz w:val="20"/>
          <w:szCs w:val="20"/>
        </w:rPr>
      </w:pPr>
    </w:p>
    <w:p w14:paraId="08EA0BF7"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12-COMPUTADOR DE ESCRITORIO - AIO AVANZADO (Fuente de poder):</w:t>
      </w:r>
    </w:p>
    <w:p w14:paraId="15D9B742"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Se solicita a la entidad considerar que la certificación de la fuente de poder interna sea </w:t>
      </w:r>
      <w:r>
        <w:rPr>
          <w:rFonts w:ascii="Arial" w:eastAsia="Arial" w:hAnsi="Arial" w:cs="Arial"/>
          <w:b/>
          <w:bCs/>
          <w:sz w:val="20"/>
          <w:szCs w:val="20"/>
        </w:rPr>
        <w:t>mínimo 80 PLUS Gold</w:t>
      </w:r>
      <w:r>
        <w:rPr>
          <w:rFonts w:ascii="Arial" w:eastAsia="Arial" w:hAnsi="Arial" w:cs="Arial"/>
          <w:sz w:val="20"/>
          <w:szCs w:val="20"/>
        </w:rPr>
        <w:t xml:space="preserve">, manteniendo la potencia mínima requerida de </w:t>
      </w:r>
      <w:r>
        <w:rPr>
          <w:rFonts w:ascii="Arial" w:eastAsia="Arial" w:hAnsi="Arial" w:cs="Arial"/>
          <w:b/>
          <w:bCs/>
          <w:sz w:val="20"/>
          <w:szCs w:val="20"/>
        </w:rPr>
        <w:t>240 Watts</w:t>
      </w:r>
      <w:r>
        <w:rPr>
          <w:rFonts w:ascii="Arial" w:eastAsia="Arial" w:hAnsi="Arial" w:cs="Arial"/>
          <w:sz w:val="20"/>
          <w:szCs w:val="20"/>
        </w:rPr>
        <w:t>.</w:t>
      </w:r>
    </w:p>
    <w:p w14:paraId="5C581F1D"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Lo anterior, teniendo en cuenta que la certificación </w:t>
      </w:r>
      <w:r>
        <w:rPr>
          <w:rFonts w:ascii="Arial" w:eastAsia="Arial" w:hAnsi="Arial" w:cs="Arial"/>
          <w:b/>
          <w:bCs/>
          <w:sz w:val="20"/>
          <w:szCs w:val="20"/>
        </w:rPr>
        <w:t>80 PLUS Gold</w:t>
      </w:r>
      <w:r>
        <w:rPr>
          <w:rFonts w:ascii="Arial" w:eastAsia="Arial" w:hAnsi="Arial" w:cs="Arial"/>
          <w:sz w:val="20"/>
          <w:szCs w:val="20"/>
        </w:rPr>
        <w:t xml:space="preserve"> proporciona altos estándares de eficiencia energética y confiabilidad para este tipo de equipos, satisfaciendo adecuadamente los requerimientos operativos de la solución. Esta modificación permitiría una mayor participación de soluciones disponibles en el mercado, sin afectar el desempeño ni la calidad esperada del equipo.</w:t>
      </w:r>
    </w:p>
    <w:p w14:paraId="3BAE87F5"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31A2957A"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No se acepta la observación, en virtud de que el requerimiento actual establece una potencia mínima de 240 W con certificación 80 PLUS Platinum, lo cual garantiza niveles superiores de eficiencia energética y desempeño. Esta especificación cumple con los parámetros de consumo y uso definidos por la Entidad, asegurando la fiabilidad y calidad necesarias para las operaciones previstas, por lo que no se considera pertinente modificar la exigencia establecida.</w:t>
      </w:r>
    </w:p>
    <w:p w14:paraId="454D2A22"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13-COMPUTADOR DE ESCRITORIO - AIO AVANZADO y WORKSTATION (Garantía):</w:t>
      </w:r>
    </w:p>
    <w:p w14:paraId="3C5638C3"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Se solicita a la entidad aclarar el término de garantía exigido para los equipos, indicando si el periodo requerido corresponde a </w:t>
      </w:r>
      <w:r>
        <w:rPr>
          <w:rFonts w:ascii="Arial" w:eastAsia="Arial" w:hAnsi="Arial" w:cs="Arial"/>
          <w:b/>
          <w:bCs/>
          <w:sz w:val="20"/>
          <w:szCs w:val="20"/>
        </w:rPr>
        <w:t>tres (3) años</w:t>
      </w:r>
      <w:r>
        <w:rPr>
          <w:rFonts w:ascii="Arial" w:eastAsia="Arial" w:hAnsi="Arial" w:cs="Arial"/>
          <w:sz w:val="20"/>
          <w:szCs w:val="20"/>
        </w:rPr>
        <w:t xml:space="preserve"> o </w:t>
      </w:r>
      <w:r>
        <w:rPr>
          <w:rFonts w:ascii="Arial" w:eastAsia="Arial" w:hAnsi="Arial" w:cs="Arial"/>
          <w:b/>
          <w:bCs/>
          <w:sz w:val="20"/>
          <w:szCs w:val="20"/>
        </w:rPr>
        <w:t>cinco (5) años</w:t>
      </w:r>
      <w:r>
        <w:rPr>
          <w:rFonts w:ascii="Arial" w:eastAsia="Arial" w:hAnsi="Arial" w:cs="Arial"/>
          <w:sz w:val="20"/>
          <w:szCs w:val="20"/>
        </w:rPr>
        <w:t>, teniendo en cuenta que en la documentación del proceso se evidencian referencias que pueden generar diferentes interpretaciones.</w:t>
      </w:r>
    </w:p>
    <w:p w14:paraId="52CC6595" w14:textId="77777777" w:rsidR="00BE6367" w:rsidRDefault="00C90F6A">
      <w:pPr>
        <w:jc w:val="both"/>
        <w:rPr>
          <w:rFonts w:ascii="Arial" w:eastAsia="Arial" w:hAnsi="Arial" w:cs="Arial"/>
          <w:sz w:val="20"/>
          <w:szCs w:val="20"/>
        </w:rPr>
      </w:pPr>
      <w:r>
        <w:rPr>
          <w:rFonts w:ascii="Arial" w:eastAsia="Arial" w:hAnsi="Arial" w:cs="Arial"/>
          <w:sz w:val="20"/>
          <w:szCs w:val="20"/>
        </w:rPr>
        <w:t>Lo anterior, con el fin de brindar claridad a los proponentes sobre el alcance del requisito y garantizar la adecuada estructuración de las ofertas bajo un mismo criterio de evaluación.</w:t>
      </w:r>
    </w:p>
    <w:p w14:paraId="0661EFAE"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7634A4EC" w14:textId="77777777" w:rsidR="00BE6367" w:rsidRDefault="00C90F6A">
      <w:pPr>
        <w:jc w:val="both"/>
        <w:rPr>
          <w:rFonts w:ascii="Arial" w:eastAsia="Arial" w:hAnsi="Arial" w:cs="Arial"/>
          <w:sz w:val="20"/>
          <w:szCs w:val="20"/>
        </w:rPr>
      </w:pPr>
      <w:r>
        <w:rPr>
          <w:rFonts w:ascii="Arial" w:eastAsia="Arial" w:hAnsi="Arial" w:cs="Arial"/>
          <w:sz w:val="20"/>
          <w:szCs w:val="20"/>
        </w:rPr>
        <w:t>Se aclara que el término de garantía para los equipos Computador de Escritorio – AIO Avanzado y Workstation corresponde mínimo a tres (3) años, de conformidad con lo establecido en la respectiva ficha técnica de producto.</w:t>
      </w:r>
    </w:p>
    <w:p w14:paraId="5CA7F336" w14:textId="77777777" w:rsidR="00BE6367" w:rsidRDefault="00C90F6A">
      <w:pPr>
        <w:jc w:val="both"/>
        <w:rPr>
          <w:rFonts w:ascii="Arial" w:eastAsia="Arial" w:hAnsi="Arial" w:cs="Arial"/>
          <w:sz w:val="20"/>
          <w:szCs w:val="20"/>
        </w:rPr>
      </w:pPr>
      <w:r>
        <w:rPr>
          <w:rFonts w:ascii="Arial" w:eastAsia="Arial" w:hAnsi="Arial" w:cs="Arial"/>
          <w:b/>
          <w:bCs/>
          <w:sz w:val="20"/>
          <w:szCs w:val="20"/>
        </w:rPr>
        <w:t>Observación 14-COMPUTADOR DE ESCRITORIO - AIO AVANZADO (Acreditación del puntaje PCMark 10):</w:t>
      </w:r>
    </w:p>
    <w:p w14:paraId="322A33A9" w14:textId="77777777" w:rsidR="00BE6367" w:rsidRDefault="00C90F6A">
      <w:pPr>
        <w:jc w:val="both"/>
        <w:rPr>
          <w:rFonts w:ascii="Arial" w:eastAsia="Arial" w:hAnsi="Arial" w:cs="Arial"/>
          <w:sz w:val="20"/>
          <w:szCs w:val="20"/>
        </w:rPr>
      </w:pPr>
      <w:r>
        <w:rPr>
          <w:rFonts w:ascii="Arial" w:eastAsia="Arial" w:hAnsi="Arial" w:cs="Arial"/>
          <w:sz w:val="20"/>
          <w:szCs w:val="20"/>
        </w:rPr>
        <w:t>Se solicita a la entidad aclarar si el requisito correspondiente al "Rendimiento PCMark 10 – Puntaje (Score) mínimo 6.200" deberá ser acreditado por el oferente durante la presentación de la propuesta o si su verificación será exigida al contratista seleccionado durante la ejecución del contrato.</w:t>
      </w:r>
    </w:p>
    <w:p w14:paraId="180CBA75" w14:textId="77777777" w:rsidR="00BE6367" w:rsidRDefault="00C90F6A">
      <w:pPr>
        <w:jc w:val="both"/>
        <w:rPr>
          <w:rFonts w:ascii="Arial" w:eastAsia="Arial" w:hAnsi="Arial" w:cs="Arial"/>
          <w:b/>
          <w:bCs/>
          <w:sz w:val="20"/>
          <w:szCs w:val="20"/>
        </w:rPr>
      </w:pPr>
      <w:r>
        <w:rPr>
          <w:rFonts w:ascii="Arial" w:eastAsia="Arial" w:hAnsi="Arial" w:cs="Arial"/>
          <w:sz w:val="20"/>
          <w:szCs w:val="20"/>
        </w:rPr>
        <w:t>Lo anterior, teniendo en cuenta que, en la etapa de presentación de ofertas, los proponentes no cuentan con los equipos que serán suministrados para la ejecución del contrato, por lo que no es posible acreditar objetivamente el resultado del benchmark sobre la máquina definitiva. En este sentido, se recomienda que dicha verificación sea exigida al contratista previo a la entrega de los equipos, garantizando así que la validación se realice sobre el equipo efectivamente suministrado.</w:t>
      </w:r>
    </w:p>
    <w:p w14:paraId="3B59C8BC"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RESPUESTA A OBSERVACIÓN:</w:t>
      </w:r>
    </w:p>
    <w:p w14:paraId="7E76B0E8" w14:textId="77777777" w:rsidR="00BE6367" w:rsidRDefault="00C90F6A">
      <w:pPr>
        <w:jc w:val="both"/>
        <w:rPr>
          <w:rFonts w:ascii="Arial" w:eastAsia="Arial" w:hAnsi="Arial" w:cs="Arial"/>
          <w:b/>
          <w:bCs/>
          <w:sz w:val="20"/>
          <w:szCs w:val="20"/>
        </w:rPr>
      </w:pPr>
      <w:r>
        <w:rPr>
          <w:rFonts w:ascii="Arial" w:eastAsia="Arial" w:hAnsi="Arial" w:cs="Arial"/>
          <w:sz w:val="20"/>
          <w:szCs w:val="20"/>
        </w:rPr>
        <w:t>Se aclara que la verificación del requisito de rendimiento PCMark 10 – puntaje mínimo de 6.200 se realizará en el momento de la entrega de los equipos, mediante la certificación de aval técnico emitida por el fabricante o comitente vendedor. De esta manera se garantiza que la validación se efectúe sobre los equipos efectivamente suministrados, asegurando el cumplimiento de la especificación técnica establecida en los documentos del proceso.</w:t>
      </w:r>
    </w:p>
    <w:p w14:paraId="2A6DA19A"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ITEM: COMPUTADOR DE ESCRITORIO - WORKSTATION</w:t>
      </w:r>
    </w:p>
    <w:p w14:paraId="4ADD6B62"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15-COMPUTADOR DE ESCRITORIO - WORKSTATION (Puertos Video):</w:t>
      </w:r>
    </w:p>
    <w:p w14:paraId="2B6D71A9"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Respetuosamente solicitamos al </w:t>
      </w:r>
      <w:r>
        <w:rPr>
          <w:rFonts w:ascii="Arial" w:eastAsia="Arial" w:hAnsi="Arial" w:cs="Arial"/>
          <w:b/>
          <w:bCs/>
          <w:sz w:val="20"/>
          <w:szCs w:val="20"/>
        </w:rPr>
        <w:t>Comitente Comprador</w:t>
      </w:r>
      <w:r>
        <w:rPr>
          <w:rFonts w:ascii="Arial" w:eastAsia="Arial" w:hAnsi="Arial" w:cs="Arial"/>
          <w:sz w:val="20"/>
          <w:szCs w:val="20"/>
        </w:rPr>
        <w:t xml:space="preserve"> aclarar el alcance de la especificación correspondiente a los puertos de video de la estación de trabajo, la cual establece:</w:t>
      </w:r>
    </w:p>
    <w:p w14:paraId="20AE18D1" w14:textId="77777777" w:rsidR="00BE6367" w:rsidRDefault="00C90F6A">
      <w:pPr>
        <w:jc w:val="both"/>
        <w:rPr>
          <w:rFonts w:ascii="Arial" w:eastAsia="Arial" w:hAnsi="Arial" w:cs="Arial"/>
          <w:sz w:val="20"/>
          <w:szCs w:val="20"/>
        </w:rPr>
      </w:pPr>
      <w:r>
        <w:rPr>
          <w:rFonts w:ascii="Arial" w:eastAsia="Arial" w:hAnsi="Arial" w:cs="Arial"/>
          <w:b/>
          <w:bCs/>
          <w:sz w:val="20"/>
          <w:szCs w:val="20"/>
        </w:rPr>
        <w:t>Puertos de video:</w:t>
      </w:r>
      <w:r>
        <w:rPr>
          <w:rFonts w:ascii="Arial" w:eastAsia="Arial" w:hAnsi="Arial" w:cs="Arial"/>
          <w:sz w:val="20"/>
          <w:szCs w:val="20"/>
        </w:rPr>
        <w:t xml:space="preserve"> </w:t>
      </w:r>
      <w:r>
        <w:rPr>
          <w:rFonts w:ascii="Arial" w:eastAsia="Arial" w:hAnsi="Arial" w:cs="Arial"/>
          <w:i/>
          <w:iCs/>
          <w:sz w:val="20"/>
          <w:szCs w:val="20"/>
        </w:rPr>
        <w:t>"Tipos: HDMI 2.1, DisplayPort 1.4, USB-C con Display Alt Mode. Soporte: Múltiples monitores 4K o 5K."</w:t>
      </w:r>
    </w:p>
    <w:p w14:paraId="51FADB26" w14:textId="77777777" w:rsidR="00BE6367" w:rsidRDefault="00C90F6A">
      <w:pPr>
        <w:jc w:val="both"/>
        <w:rPr>
          <w:rFonts w:ascii="Arial" w:eastAsia="Arial" w:hAnsi="Arial" w:cs="Arial"/>
          <w:sz w:val="20"/>
          <w:szCs w:val="20"/>
        </w:rPr>
      </w:pPr>
      <w:r>
        <w:rPr>
          <w:rFonts w:ascii="Arial" w:eastAsia="Arial" w:hAnsi="Arial" w:cs="Arial"/>
          <w:sz w:val="20"/>
          <w:szCs w:val="20"/>
        </w:rPr>
        <w:t>Así mismo, en el apartado de la tarjeta de video se requiere:</w:t>
      </w:r>
    </w:p>
    <w:p w14:paraId="1FB616C0" w14:textId="77777777" w:rsidR="00BE6367" w:rsidRDefault="00C90F6A">
      <w:pPr>
        <w:jc w:val="both"/>
        <w:rPr>
          <w:rFonts w:ascii="Arial" w:eastAsia="Arial" w:hAnsi="Arial" w:cs="Arial"/>
          <w:sz w:val="20"/>
          <w:szCs w:val="20"/>
        </w:rPr>
      </w:pPr>
      <w:r>
        <w:rPr>
          <w:rFonts w:ascii="Arial" w:eastAsia="Arial" w:hAnsi="Arial" w:cs="Arial"/>
          <w:i/>
          <w:iCs/>
          <w:sz w:val="20"/>
          <w:szCs w:val="20"/>
        </w:rPr>
        <w:lastRenderedPageBreak/>
        <w:t>"Salidas de video: Mínimo tres (3) puertos DisplayPort 1.4a o superior, con soporte nativo para resoluciones 8K 60 Hz o múltiples arreglos."</w:t>
      </w:r>
    </w:p>
    <w:p w14:paraId="27938457"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De la forma en que se encuentra redactada la especificación, podría interpretarse que el equipo debe incorporar un (1) puerto HDMI 2.1, un (1) puerto DisplayPort 1.4 y un (1) puerto USB-C con Display Alt Mode, y que, </w:t>
      </w:r>
      <w:r>
        <w:rPr>
          <w:rFonts w:ascii="Arial" w:eastAsia="Arial" w:hAnsi="Arial" w:cs="Arial"/>
          <w:b/>
          <w:bCs/>
          <w:sz w:val="20"/>
          <w:szCs w:val="20"/>
        </w:rPr>
        <w:t>de manera adicional</w:t>
      </w:r>
      <w:r>
        <w:rPr>
          <w:rFonts w:ascii="Arial" w:eastAsia="Arial" w:hAnsi="Arial" w:cs="Arial"/>
          <w:sz w:val="20"/>
          <w:szCs w:val="20"/>
        </w:rPr>
        <w:t xml:space="preserve">, la tarjeta gráfica debe disponer de mínimo tres (3) puertos DisplayPort 1.4a o superior, lo que representaría un requerimiento de hasta </w:t>
      </w:r>
      <w:r>
        <w:rPr>
          <w:rFonts w:ascii="Arial" w:eastAsia="Arial" w:hAnsi="Arial" w:cs="Arial"/>
          <w:b/>
          <w:bCs/>
          <w:sz w:val="20"/>
          <w:szCs w:val="20"/>
        </w:rPr>
        <w:t>seis (6) salidas de video físicas</w:t>
      </w:r>
      <w:r>
        <w:rPr>
          <w:rFonts w:ascii="Arial" w:eastAsia="Arial" w:hAnsi="Arial" w:cs="Arial"/>
          <w:sz w:val="20"/>
          <w:szCs w:val="20"/>
        </w:rPr>
        <w:t xml:space="preserve"> (cuatro DisplayPort, un HDMI y un USB-C).</w:t>
      </w:r>
    </w:p>
    <w:p w14:paraId="6148C71C" w14:textId="77777777" w:rsidR="00BE6367" w:rsidRDefault="00C90F6A">
      <w:pPr>
        <w:jc w:val="both"/>
        <w:rPr>
          <w:rFonts w:ascii="Arial" w:eastAsia="Arial" w:hAnsi="Arial" w:cs="Arial"/>
          <w:sz w:val="20"/>
          <w:szCs w:val="20"/>
        </w:rPr>
      </w:pPr>
      <w:r>
        <w:rPr>
          <w:rFonts w:ascii="Arial" w:eastAsia="Arial" w:hAnsi="Arial" w:cs="Arial"/>
          <w:sz w:val="20"/>
          <w:szCs w:val="20"/>
        </w:rPr>
        <w:t>Consideramos que dicha interpretación resulta desproporcionada, toda vez que la finalidad de la tarjeta gráfica profesional es precisamente proporcionar las interfaces de video necesarias para la conexión de múltiples monitores de alta resolución, soportar configuraciones multimonitor, resoluciones de hasta 8K y demás capacidades gráficas requeridas para una estación de trabajo profesional. En consecuencia, el requerimiento de una tarjeta gráfica con mínimo tres (3) puertos DisplayPort 1.4a o superior ya garantiza el cumplimiento de las capacidades de visualización exigidas por el Comitente Comprador, por lo que exigir adicionalmente puertos HDMI, DisplayPort y USB-C como requisitos independientes podría generar una restricción técnica innecesaria.</w:t>
      </w:r>
    </w:p>
    <w:p w14:paraId="400B5E47"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En este sentido, solicitamos confirmar si la intención del </w:t>
      </w:r>
      <w:r>
        <w:rPr>
          <w:rFonts w:ascii="Arial" w:eastAsia="Arial" w:hAnsi="Arial" w:cs="Arial"/>
          <w:b/>
          <w:bCs/>
          <w:sz w:val="20"/>
          <w:szCs w:val="20"/>
        </w:rPr>
        <w:t>Comitente Comprador</w:t>
      </w:r>
      <w:r>
        <w:rPr>
          <w:rFonts w:ascii="Arial" w:eastAsia="Arial" w:hAnsi="Arial" w:cs="Arial"/>
          <w:sz w:val="20"/>
          <w:szCs w:val="20"/>
        </w:rPr>
        <w:t xml:space="preserve"> es que el requisito de </w:t>
      </w:r>
      <w:r>
        <w:rPr>
          <w:rFonts w:ascii="Arial" w:eastAsia="Arial" w:hAnsi="Arial" w:cs="Arial"/>
          <w:b/>
          <w:bCs/>
          <w:sz w:val="20"/>
          <w:szCs w:val="20"/>
        </w:rPr>
        <w:t>Puertos de video</w:t>
      </w:r>
      <w:r>
        <w:rPr>
          <w:rFonts w:ascii="Arial" w:eastAsia="Arial" w:hAnsi="Arial" w:cs="Arial"/>
          <w:sz w:val="20"/>
          <w:szCs w:val="20"/>
        </w:rPr>
        <w:t xml:space="preserve"> corresponda a </w:t>
      </w:r>
      <w:r>
        <w:rPr>
          <w:rFonts w:ascii="Arial" w:eastAsia="Arial" w:hAnsi="Arial" w:cs="Arial"/>
          <w:b/>
          <w:bCs/>
          <w:sz w:val="20"/>
          <w:szCs w:val="20"/>
        </w:rPr>
        <w:t>cualquiera</w:t>
      </w:r>
      <w:r>
        <w:rPr>
          <w:rFonts w:ascii="Arial" w:eastAsia="Arial" w:hAnsi="Arial" w:cs="Arial"/>
          <w:sz w:val="20"/>
          <w:szCs w:val="20"/>
        </w:rPr>
        <w:t xml:space="preserve"> de las siguientes interfaces: </w:t>
      </w:r>
      <w:r>
        <w:rPr>
          <w:rFonts w:ascii="Arial" w:eastAsia="Arial" w:hAnsi="Arial" w:cs="Arial"/>
          <w:b/>
          <w:bCs/>
          <w:sz w:val="20"/>
          <w:szCs w:val="20"/>
        </w:rPr>
        <w:t>HDMI 2.1 ó DisplayPort 1.4 ó USB-C con Display Alt Mode</w:t>
      </w:r>
      <w:r>
        <w:rPr>
          <w:rFonts w:ascii="Arial" w:eastAsia="Arial" w:hAnsi="Arial" w:cs="Arial"/>
          <w:sz w:val="20"/>
          <w:szCs w:val="20"/>
        </w:rPr>
        <w:t>, y no a la incorporación simultánea de todas ellas.</w:t>
      </w:r>
    </w:p>
    <w:p w14:paraId="0F2CB338"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En caso afirmativo, respetuosamente sugerimos ajustar la redacción utilizando el término </w:t>
      </w:r>
      <w:r>
        <w:rPr>
          <w:rFonts w:ascii="Arial" w:eastAsia="Arial" w:hAnsi="Arial" w:cs="Arial"/>
          <w:b/>
          <w:bCs/>
          <w:sz w:val="20"/>
          <w:szCs w:val="20"/>
        </w:rPr>
        <w:t>"ó"</w:t>
      </w:r>
      <w:r>
        <w:rPr>
          <w:rFonts w:ascii="Arial" w:eastAsia="Arial" w:hAnsi="Arial" w:cs="Arial"/>
          <w:sz w:val="20"/>
          <w:szCs w:val="20"/>
        </w:rPr>
        <w:t>, de la siguiente manera:</w:t>
      </w:r>
    </w:p>
    <w:p w14:paraId="40E434A0" w14:textId="77777777" w:rsidR="00BE6367" w:rsidRDefault="00C90F6A">
      <w:pPr>
        <w:jc w:val="both"/>
        <w:rPr>
          <w:rFonts w:ascii="Arial" w:eastAsia="Arial" w:hAnsi="Arial" w:cs="Arial"/>
          <w:sz w:val="20"/>
          <w:szCs w:val="20"/>
        </w:rPr>
      </w:pPr>
      <w:r>
        <w:rPr>
          <w:rFonts w:ascii="Arial" w:eastAsia="Arial" w:hAnsi="Arial" w:cs="Arial"/>
          <w:b/>
          <w:bCs/>
          <w:sz w:val="20"/>
          <w:szCs w:val="20"/>
        </w:rPr>
        <w:t>"Puertos de video: HDMI 2.1 ó DisplayPort 1.4 ó USB-C con Display Alt Mode, con soporte para múltiples monitores 4K o 5K."</w:t>
      </w:r>
    </w:p>
    <w:p w14:paraId="0DC3AA55" w14:textId="77777777" w:rsidR="00BE6367" w:rsidRDefault="00C90F6A">
      <w:pPr>
        <w:jc w:val="both"/>
        <w:rPr>
          <w:rFonts w:ascii="Arial" w:eastAsia="Arial" w:hAnsi="Arial" w:cs="Arial"/>
          <w:sz w:val="20"/>
          <w:szCs w:val="20"/>
        </w:rPr>
      </w:pPr>
      <w:r>
        <w:rPr>
          <w:rFonts w:ascii="Arial" w:eastAsia="Arial" w:hAnsi="Arial" w:cs="Arial"/>
          <w:sz w:val="20"/>
          <w:szCs w:val="20"/>
        </w:rPr>
        <w:t>Esta aclaración permitirá una interpretación unívoca del requisito técnico, evitará inconvenientes durante la presentación y evaluación de las ofertas y promoverá la pluralidad de oferentes, sin afectar las capacidades funcionales requeridas por el Comitente Comprador.</w:t>
      </w:r>
    </w:p>
    <w:p w14:paraId="266A27F1"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RESPUESTA A OBSERVACIÓN:</w:t>
      </w:r>
    </w:p>
    <w:p w14:paraId="518B10B5" w14:textId="77777777" w:rsidR="00BE6367" w:rsidRDefault="00C90F6A">
      <w:pPr>
        <w:jc w:val="both"/>
        <w:rPr>
          <w:rFonts w:ascii="Arial" w:eastAsia="Arial" w:hAnsi="Arial" w:cs="Arial"/>
          <w:sz w:val="20"/>
          <w:szCs w:val="20"/>
        </w:rPr>
      </w:pPr>
      <w:r>
        <w:rPr>
          <w:rFonts w:ascii="Arial" w:eastAsia="Arial" w:hAnsi="Arial" w:cs="Arial"/>
          <w:sz w:val="20"/>
          <w:szCs w:val="20"/>
        </w:rPr>
        <w:t>Se acepta la observación, con la finalidad de evitar malinterpretaciones por parte de los comitentes vendedores, se modificará el requerimiento de puertos de video para precisar que se exige al menos una de las siguientes interfaces de salida (HDMI 2.1 o DisplayPort 1.4 o USB-C con Display Alt Mode). Esta aclaración se establece considerando la necesidad de soportar distintos monitores que utilizan cables diferentes tipos de conexión, adicionales a los puertos ya establecidos en la tarjeta gráfica incorporada.</w:t>
      </w:r>
    </w:p>
    <w:p w14:paraId="5F0CC685"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16-COMPUTADOR DE ESCRITORIO - WORKSTATION (Teclado Recorrido entre teclas):</w:t>
      </w:r>
    </w:p>
    <w:p w14:paraId="0828C332" w14:textId="77777777" w:rsidR="00BE6367" w:rsidRDefault="00C90F6A">
      <w:pPr>
        <w:jc w:val="both"/>
        <w:rPr>
          <w:rFonts w:ascii="Arial" w:eastAsia="Arial" w:hAnsi="Arial" w:cs="Arial"/>
          <w:sz w:val="20"/>
          <w:szCs w:val="20"/>
        </w:rPr>
      </w:pPr>
      <w:r>
        <w:rPr>
          <w:rFonts w:ascii="Arial" w:eastAsia="Arial" w:hAnsi="Arial" w:cs="Arial"/>
          <w:sz w:val="20"/>
          <w:szCs w:val="20"/>
        </w:rPr>
        <w:t>Teniendo en cuenta que dentro de las especificaciones técnicas se establece un recorrido total de tecla de 4.0 mm, se solicita a la entidad aclarar si será permitido ofertar teclados con un recorrido menor al indicado.</w:t>
      </w:r>
    </w:p>
    <w:p w14:paraId="1ED517B4" w14:textId="77777777" w:rsidR="00BE6367" w:rsidRDefault="00C90F6A">
      <w:pPr>
        <w:jc w:val="both"/>
        <w:rPr>
          <w:rFonts w:ascii="Arial" w:eastAsia="Arial" w:hAnsi="Arial" w:cs="Arial"/>
          <w:sz w:val="20"/>
          <w:szCs w:val="20"/>
        </w:rPr>
      </w:pPr>
      <w:r>
        <w:rPr>
          <w:rFonts w:ascii="Arial" w:eastAsia="Arial" w:hAnsi="Arial" w:cs="Arial"/>
          <w:sz w:val="20"/>
          <w:szCs w:val="20"/>
        </w:rPr>
        <w:t>Lo anterior, considerando que los teclados con switches mecánicos de bajo perfil están diseñados para ofrecer una menor distancia de desplazamiento y activación, lo cual puede brindar beneficios técnicos como una respuesta más rápida, mayor fluidez durante la digitación, menor esfuerzo de pulsación y mejor desempeño en escenarios de uso donde se requiere velocidad de respuesta, como aplicaciones gaming o de alta interacción.</w:t>
      </w:r>
    </w:p>
    <w:p w14:paraId="6FFB1341"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En este sentido, se recomienda a la entidad con el fin de permitir pluralidad de marcas que los teclados cuenten con un recorrido menor o igual a 4.0 mm, siempre que cumplan con las demás </w:t>
      </w:r>
      <w:r>
        <w:rPr>
          <w:rFonts w:ascii="Arial" w:eastAsia="Arial" w:hAnsi="Arial" w:cs="Arial"/>
          <w:sz w:val="20"/>
          <w:szCs w:val="20"/>
        </w:rPr>
        <w:lastRenderedPageBreak/>
        <w:t>características técnicas requeridas, con el fin de permitir la participación de tecnologías actuales disponibles en el mercado y garantizar una mayor pluralidad de oferentes.</w:t>
      </w:r>
    </w:p>
    <w:p w14:paraId="0E1E8DAB"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452D7FB6" w14:textId="77777777" w:rsidR="00BE6367" w:rsidRDefault="00C90F6A">
      <w:pPr>
        <w:jc w:val="both"/>
        <w:rPr>
          <w:rFonts w:ascii="Arial" w:eastAsia="Arial" w:hAnsi="Arial" w:cs="Arial"/>
          <w:sz w:val="20"/>
          <w:szCs w:val="20"/>
        </w:rPr>
      </w:pPr>
      <w:r>
        <w:rPr>
          <w:rFonts w:ascii="Arial" w:eastAsia="Arial" w:hAnsi="Arial" w:cs="Arial"/>
          <w:sz w:val="20"/>
          <w:szCs w:val="20"/>
        </w:rPr>
        <w:t>Se aclara que el requerimiento para el teclado establece un recorrido de tecla de máximo 4.0 mm, por lo cual se aceptan recorridos de menor distancia. Con el fin de que este requisito quede expresado de la mejor manera y facilite su comprensión, se modificará la redacción para precisar dicho límite como parámetro de máximo cumplimiento, indicando claramente que recorridos inferiores se admiten y cumplen con la especificación.</w:t>
      </w:r>
    </w:p>
    <w:p w14:paraId="7D89317F"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17– COMPUTADOR DE ESCRITORIO - WORKSTATION (Posiciones del teclado):</w:t>
      </w:r>
    </w:p>
    <w:p w14:paraId="133CC0D0" w14:textId="77777777" w:rsidR="00BE6367" w:rsidRDefault="00C90F6A">
      <w:pPr>
        <w:jc w:val="both"/>
        <w:rPr>
          <w:rFonts w:ascii="Arial" w:eastAsia="Arial" w:hAnsi="Arial" w:cs="Arial"/>
          <w:sz w:val="20"/>
          <w:szCs w:val="20"/>
        </w:rPr>
      </w:pPr>
      <w:r>
        <w:rPr>
          <w:rFonts w:ascii="Arial" w:eastAsia="Arial" w:hAnsi="Arial" w:cs="Arial"/>
          <w:sz w:val="20"/>
          <w:szCs w:val="20"/>
        </w:rPr>
        <w:t>Respecto al requerimiento que establece que el teclado debe contar con "tres ángulos de inclinación mediante patas ajustables en 3 posiciones", se solicita a la entidad revisar esta condición técnica, teniendo en cuenta que en el mercado la mayoría de teclados mecánicos gaming cuentan con un sistema estándar de patas traseras ajustables, las cuales generalmente permiten una posición adicional de inclinación al extenderse o mantenerse plegadas, generando normalmente dos niveles de ajuste.</w:t>
      </w:r>
    </w:p>
    <w:p w14:paraId="1CBD9FCA" w14:textId="77777777" w:rsidR="00BE6367" w:rsidRDefault="00C90F6A">
      <w:pPr>
        <w:jc w:val="both"/>
        <w:rPr>
          <w:rFonts w:ascii="Arial" w:eastAsia="Arial" w:hAnsi="Arial" w:cs="Arial"/>
          <w:sz w:val="20"/>
          <w:szCs w:val="20"/>
        </w:rPr>
      </w:pPr>
      <w:r>
        <w:rPr>
          <w:rFonts w:ascii="Arial" w:eastAsia="Arial" w:hAnsi="Arial" w:cs="Arial"/>
          <w:sz w:val="20"/>
          <w:szCs w:val="20"/>
        </w:rPr>
        <w:t>La exigencia de tres posiciones de inclinación corresponde a una característica particular de algunos modelos específicos y no representa una condición técnica generalizada dentro de la categoría de teclados mecánicos gaming. Por lo anterior, mantener esta condición podría limitar la participación de fabricantes y referencias disponibles en el mercado que cuentan con soluciones técnicamente equivalentes y que cumplen con la funcionalidad ergonómica requerida.</w:t>
      </w:r>
    </w:p>
    <w:p w14:paraId="31A7D303" w14:textId="77777777" w:rsidR="00BE6367" w:rsidRDefault="00C90F6A">
      <w:pPr>
        <w:jc w:val="both"/>
        <w:rPr>
          <w:rFonts w:ascii="Arial" w:eastAsia="Arial" w:hAnsi="Arial" w:cs="Arial"/>
          <w:sz w:val="20"/>
          <w:szCs w:val="20"/>
        </w:rPr>
      </w:pPr>
      <w:r>
        <w:rPr>
          <w:rFonts w:ascii="Arial" w:eastAsia="Arial" w:hAnsi="Arial" w:cs="Arial"/>
          <w:sz w:val="20"/>
          <w:szCs w:val="20"/>
        </w:rPr>
        <w:t>En este sentido, con el propósito de garantizar los principios de pluralidad de oferentes y libre participación, se recomienda a la entidad ajustar el requerimiento a:</w:t>
      </w:r>
    </w:p>
    <w:p w14:paraId="0E56F0A3"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"Teclado con patas ajustables que permitan mínimo dos posiciones de inclinación."</w:t>
      </w:r>
    </w:p>
    <w:p w14:paraId="385A48D3" w14:textId="77777777" w:rsidR="00BE6367" w:rsidRDefault="00C90F6A">
      <w:pPr>
        <w:jc w:val="both"/>
        <w:rPr>
          <w:rFonts w:ascii="Arial" w:eastAsia="Arial" w:hAnsi="Arial" w:cs="Arial"/>
          <w:sz w:val="20"/>
          <w:szCs w:val="20"/>
        </w:rPr>
      </w:pPr>
      <w:r>
        <w:rPr>
          <w:rFonts w:ascii="Arial" w:eastAsia="Arial" w:hAnsi="Arial" w:cs="Arial"/>
          <w:sz w:val="20"/>
          <w:szCs w:val="20"/>
        </w:rPr>
        <w:t>Esta modificación mantiene la funcionalidad ergonómica requerida para el usuario final, permitiendo la participación de un mayor número de fabricantes sin afectar la calidad ni desempeño del dispositivo.</w:t>
      </w:r>
    </w:p>
    <w:p w14:paraId="7AA8958C"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307E2654" w14:textId="77777777" w:rsidR="00BE6367" w:rsidRDefault="00C90F6A">
      <w:pPr>
        <w:jc w:val="both"/>
        <w:rPr>
          <w:rFonts w:ascii="Arial" w:eastAsia="Arial" w:hAnsi="Arial" w:cs="Arial"/>
          <w:sz w:val="20"/>
          <w:szCs w:val="20"/>
        </w:rPr>
      </w:pPr>
      <w:r>
        <w:rPr>
          <w:rFonts w:ascii="Arial" w:eastAsia="Arial" w:hAnsi="Arial" w:cs="Arial"/>
          <w:sz w:val="20"/>
          <w:szCs w:val="20"/>
        </w:rPr>
        <w:t>Se acepta la observación y se modificará el requerimiento para ampliar la pluralidad de mercado, teniendo en cuenta los estándares actuales. En lugar de exigir tres ángulos de inclinación mediante patas ajustables en 3 posiciones, se establecerá que el teclado deberá contar con patas ajustables que permitan mínimo dos (2) posiciones de inclinación. De esta manera se mantiene la ergonomía necesaria y se favorece la participación de un mayor número de marcas y modelos disponibles en el mercado.</w:t>
      </w:r>
    </w:p>
    <w:p w14:paraId="729131C4"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18 – COMPUTADOR DE ESCRITORIO - WORKSTATION (Cámara de Workstation):</w:t>
      </w:r>
    </w:p>
    <w:p w14:paraId="472F1075"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Se solicita a la entidad </w:t>
      </w:r>
      <w:r>
        <w:rPr>
          <w:rFonts w:ascii="Arial" w:eastAsia="Arial" w:hAnsi="Arial" w:cs="Arial"/>
          <w:b/>
          <w:bCs/>
          <w:sz w:val="20"/>
          <w:szCs w:val="20"/>
        </w:rPr>
        <w:t>considerar la eliminación del requisito</w:t>
      </w:r>
      <w:r>
        <w:rPr>
          <w:rFonts w:ascii="Arial" w:eastAsia="Arial" w:hAnsi="Arial" w:cs="Arial"/>
          <w:sz w:val="20"/>
          <w:szCs w:val="20"/>
        </w:rPr>
        <w:t xml:space="preserve"> que exige que la cámara cuente con </w:t>
      </w:r>
      <w:r>
        <w:rPr>
          <w:rFonts w:ascii="Arial" w:eastAsia="Arial" w:hAnsi="Arial" w:cs="Arial"/>
          <w:b/>
          <w:bCs/>
          <w:sz w:val="20"/>
          <w:szCs w:val="20"/>
        </w:rPr>
        <w:t>"lente de cristal de alta precisión"</w:t>
      </w:r>
      <w:r>
        <w:rPr>
          <w:rFonts w:ascii="Arial" w:eastAsia="Arial" w:hAnsi="Arial" w:cs="Arial"/>
          <w:sz w:val="20"/>
          <w:szCs w:val="20"/>
        </w:rPr>
        <w:t>, teniendo en cuenta que la calidad óptica y el desempeño de una cámara no dependen exclusivamente del material del lente, sino del conjunto de componentes que integran el sistema de captura de imagen, tales como el sensor, apertura, procesamiento de imagen, enfoque automático y tecnologías de corrección de iluminación.</w:t>
      </w:r>
    </w:p>
    <w:p w14:paraId="739733D7"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Actualmente, en el mercado existen diferentes tecnologías y composiciones de materiales utilizados en los sistemas ópticos de cámaras profesionales, incluyendo soluciones con </w:t>
      </w:r>
      <w:r>
        <w:rPr>
          <w:rFonts w:ascii="Arial" w:eastAsia="Arial" w:hAnsi="Arial" w:cs="Arial"/>
          <w:sz w:val="20"/>
          <w:szCs w:val="20"/>
        </w:rPr>
        <w:lastRenderedPageBreak/>
        <w:t>elementos ópticos de alta precisión fabricados con materiales alternativos al cristal, los cuales pueden ofrecer resultados equivalentes o superiores en términos de nitidez, enfoque, transmisión de luz y calidad de imagen.</w:t>
      </w:r>
    </w:p>
    <w:p w14:paraId="0AACA90F" w14:textId="77777777" w:rsidR="00BE6367" w:rsidRDefault="00C90F6A">
      <w:pPr>
        <w:jc w:val="both"/>
        <w:rPr>
          <w:rFonts w:ascii="Arial" w:eastAsia="Arial" w:hAnsi="Arial" w:cs="Arial"/>
          <w:sz w:val="20"/>
          <w:szCs w:val="20"/>
        </w:rPr>
      </w:pPr>
      <w:r>
        <w:rPr>
          <w:rFonts w:ascii="Arial" w:eastAsia="Arial" w:hAnsi="Arial" w:cs="Arial"/>
          <w:sz w:val="20"/>
          <w:szCs w:val="20"/>
        </w:rPr>
        <w:t>En este sentido, exigir específicamente un lente fabricado en cristal podría restringir la participación de fabricantes y referencias disponibles en el mercado, llegando incluso a limitar la oferta a una marca o modelo específico que cuente con esta característica constructiva particular, sin que esto represente necesariamente una ventaja técnica objetiva frente a otras soluciones disponibles.</w:t>
      </w:r>
    </w:p>
    <w:p w14:paraId="1CDE51EF" w14:textId="77777777" w:rsidR="00BE6367" w:rsidRDefault="00C90F6A">
      <w:pPr>
        <w:jc w:val="both"/>
        <w:rPr>
          <w:rFonts w:ascii="Arial" w:eastAsia="Arial" w:hAnsi="Arial" w:cs="Arial"/>
          <w:sz w:val="20"/>
          <w:szCs w:val="20"/>
        </w:rPr>
      </w:pPr>
      <w:r>
        <w:rPr>
          <w:rFonts w:ascii="Arial" w:eastAsia="Arial" w:hAnsi="Arial" w:cs="Arial"/>
          <w:sz w:val="20"/>
          <w:szCs w:val="20"/>
        </w:rPr>
        <w:t>Por lo anterior, se recomienda a la entidad ajustar el requerimiento a:</w:t>
      </w:r>
    </w:p>
    <w:p w14:paraId="17F9FB1E" w14:textId="77777777" w:rsidR="00BE6367" w:rsidRDefault="00C90F6A">
      <w:pPr>
        <w:jc w:val="both"/>
        <w:rPr>
          <w:rFonts w:ascii="Arial" w:eastAsia="Arial" w:hAnsi="Arial" w:cs="Arial"/>
          <w:sz w:val="20"/>
          <w:szCs w:val="20"/>
        </w:rPr>
      </w:pPr>
      <w:r>
        <w:rPr>
          <w:rFonts w:ascii="Arial" w:eastAsia="Arial" w:hAnsi="Arial" w:cs="Arial"/>
          <w:b/>
          <w:bCs/>
          <w:sz w:val="20"/>
          <w:szCs w:val="20"/>
        </w:rPr>
        <w:t>"Lente de alta precisión con funciones de autoenfoque (Autofocus)."</w:t>
      </w:r>
    </w:p>
    <w:p w14:paraId="6C2377B3" w14:textId="77777777" w:rsidR="00BE6367" w:rsidRDefault="00C90F6A">
      <w:pPr>
        <w:jc w:val="both"/>
        <w:rPr>
          <w:rFonts w:ascii="Arial" w:eastAsia="Arial" w:hAnsi="Arial" w:cs="Arial"/>
          <w:sz w:val="20"/>
          <w:szCs w:val="20"/>
        </w:rPr>
      </w:pPr>
      <w:r>
        <w:rPr>
          <w:rFonts w:ascii="Arial" w:eastAsia="Arial" w:hAnsi="Arial" w:cs="Arial"/>
          <w:sz w:val="20"/>
          <w:szCs w:val="20"/>
        </w:rPr>
        <w:t>Esta modificación permitirá garantizar el cumplimiento de la necesidad técnica requerida, promoviendo la pluralidad de oferentes y evitando establecer condiciones que puedan direccionar la especificación hacia una única marca o referencia comercial.</w:t>
      </w:r>
    </w:p>
    <w:p w14:paraId="27B40B02"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411724AB" w14:textId="77777777" w:rsidR="00BE6367" w:rsidRDefault="00C90F6A">
      <w:pPr>
        <w:jc w:val="both"/>
        <w:rPr>
          <w:rFonts w:ascii="Arial" w:eastAsia="Arial" w:hAnsi="Arial" w:cs="Arial"/>
          <w:sz w:val="20"/>
          <w:szCs w:val="20"/>
        </w:rPr>
      </w:pPr>
      <w:r>
        <w:rPr>
          <w:rFonts w:ascii="Arial" w:eastAsia="Arial" w:hAnsi="Arial" w:cs="Arial"/>
          <w:sz w:val="20"/>
          <w:szCs w:val="20"/>
        </w:rPr>
        <w:t>Se acepta la observación y se modificará el requerimiento actual. En su lugar, se establecerá la exigencia de “lente de alta precisión con autoenfoque (Autofocus) y corrección automática de luz mediante Inteligencia Artificial”, aclarando que el material del lente no será un requisito establecido.</w:t>
      </w:r>
    </w:p>
    <w:p w14:paraId="2FE67EE7" w14:textId="77777777" w:rsidR="00BE6367" w:rsidRDefault="00C90F6A">
      <w:pPr>
        <w:jc w:val="both"/>
        <w:rPr>
          <w:rFonts w:ascii="Arial" w:eastAsia="Arial" w:hAnsi="Arial" w:cs="Arial"/>
          <w:sz w:val="20"/>
          <w:szCs w:val="20"/>
        </w:rPr>
      </w:pPr>
      <w:r>
        <w:rPr>
          <w:rFonts w:ascii="Arial" w:eastAsia="Arial" w:hAnsi="Arial" w:cs="Arial"/>
          <w:sz w:val="20"/>
          <w:szCs w:val="20"/>
        </w:rPr>
        <w:t>Este ajuste fomenta una mayor pluralidad de cumplimiento, permitiendo la participación de distintas marcas y tecnologías disponibles en el mercado, siempre garantizando el desempeño óptico requerido.</w:t>
      </w:r>
    </w:p>
    <w:p w14:paraId="389F2209"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19-– COMPUTADOR DE ESCRITORIO - WORKSTATION (WIFI de Workstation):</w:t>
      </w:r>
    </w:p>
    <w:p w14:paraId="4BE97D00"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Se solicita a la entidad considerar que, para las estaciones de trabajo, el requisito de conectividad inalámbrica se establezca como </w:t>
      </w:r>
      <w:r>
        <w:rPr>
          <w:rFonts w:ascii="Arial" w:eastAsia="Arial" w:hAnsi="Arial" w:cs="Arial"/>
          <w:b/>
          <w:bCs/>
          <w:sz w:val="20"/>
          <w:szCs w:val="20"/>
        </w:rPr>
        <w:t>"Tarjeta interna con soporte para Wi-Fi 2x2 MIMO"</w:t>
      </w:r>
      <w:r>
        <w:rPr>
          <w:rFonts w:ascii="Arial" w:eastAsia="Arial" w:hAnsi="Arial" w:cs="Arial"/>
          <w:sz w:val="20"/>
          <w:szCs w:val="20"/>
        </w:rPr>
        <w:t>, sin indicar una generación específica.</w:t>
      </w:r>
    </w:p>
    <w:p w14:paraId="576D38A6" w14:textId="77777777" w:rsidR="00BE6367" w:rsidRDefault="00C90F6A">
      <w:pPr>
        <w:jc w:val="both"/>
        <w:rPr>
          <w:rFonts w:ascii="Arial" w:eastAsia="Arial" w:hAnsi="Arial" w:cs="Arial"/>
          <w:sz w:val="20"/>
          <w:szCs w:val="20"/>
        </w:rPr>
      </w:pPr>
      <w:r>
        <w:rPr>
          <w:rFonts w:ascii="Arial" w:eastAsia="Arial" w:hAnsi="Arial" w:cs="Arial"/>
          <w:sz w:val="20"/>
          <w:szCs w:val="20"/>
        </w:rPr>
        <w:t>Lo anterior, teniendo en cuenta que las diferentes generaciones de Wi-Fi disponibles en el mercado ofrecen un adecuado desempeño para este tipo de equipos y su funcionalidad depende, en gran medida, de la infraestructura inalámbrica donde serán implementados. Esta modificación permitirá una mayor participación de soluciones disponibles en el mercado, sin afectar las capacidades de conectividad requeridas para la operación de las estaciones de trabajo.</w:t>
      </w:r>
    </w:p>
    <w:p w14:paraId="1423155E"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20F7818E" w14:textId="77777777" w:rsidR="00BE6367" w:rsidRDefault="00C90F6A">
      <w:pPr>
        <w:jc w:val="both"/>
        <w:rPr>
          <w:rFonts w:ascii="Arial" w:eastAsia="Arial" w:hAnsi="Arial" w:cs="Arial"/>
          <w:sz w:val="20"/>
          <w:szCs w:val="20"/>
        </w:rPr>
      </w:pPr>
      <w:r>
        <w:rPr>
          <w:rFonts w:ascii="Arial" w:eastAsia="Arial" w:hAnsi="Arial" w:cs="Arial"/>
          <w:sz w:val="20"/>
          <w:szCs w:val="20"/>
        </w:rPr>
        <w:t>No se acepta la observación. Se mantiene el requisito de tarjeta interna con soporte para Wi-Fi 7 2x2 MIMO, considerando que esta especificación responde a la necesidad de contar con equipos preparados para soportar los estándares más recientes de conectividad inalámbrica, garantizando mayor capacidad de transmisión, menor latencia, mejor desempeño en entornos con alta densidad de dispositivos y compatibilidad con futuras actualizaciones de la infraestructura tecnológica.</w:t>
      </w:r>
    </w:p>
    <w:p w14:paraId="5231E639" w14:textId="77777777" w:rsidR="00BE6367" w:rsidRDefault="00C90F6A">
      <w:pPr>
        <w:jc w:val="both"/>
        <w:rPr>
          <w:rFonts w:ascii="Arial" w:eastAsia="Arial" w:hAnsi="Arial" w:cs="Arial"/>
          <w:b/>
          <w:bCs/>
          <w:sz w:val="20"/>
          <w:szCs w:val="20"/>
        </w:rPr>
      </w:pPr>
      <w:r>
        <w:rPr>
          <w:rFonts w:ascii="Arial" w:eastAsia="Arial" w:hAnsi="Arial" w:cs="Arial"/>
          <w:sz w:val="20"/>
          <w:szCs w:val="20"/>
        </w:rPr>
        <w:t>En consecuencia, se considera procedente mantener la generación de conectividad inalámbrica establecida en las especificaciones técnicas, al corresponder con los requerimientos de desempeño y vigencia tecnológica definidos para las estaciones de trabajo objeto del presente proceso.</w:t>
      </w:r>
    </w:p>
    <w:p w14:paraId="5F59F70A"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ITEM: TABLETA</w:t>
      </w:r>
    </w:p>
    <w:p w14:paraId="19672EC6" w14:textId="77777777" w:rsidR="00BE6367" w:rsidRDefault="00C90F6A">
      <w:pPr>
        <w:jc w:val="both"/>
        <w:rPr>
          <w:rFonts w:ascii="Arial" w:eastAsia="Arial" w:hAnsi="Arial" w:cs="Arial"/>
          <w:sz w:val="20"/>
          <w:szCs w:val="20"/>
        </w:rPr>
      </w:pPr>
      <w:r>
        <w:rPr>
          <w:rFonts w:ascii="Arial" w:eastAsia="Arial" w:hAnsi="Arial" w:cs="Arial"/>
          <w:b/>
          <w:bCs/>
          <w:sz w:val="20"/>
          <w:szCs w:val="20"/>
        </w:rPr>
        <w:lastRenderedPageBreak/>
        <w:t>Observación 20– Tableta (Motor neuronal del procesador):</w:t>
      </w:r>
    </w:p>
    <w:p w14:paraId="267A2A3D"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Respetuosamente solicitamos al </w:t>
      </w:r>
      <w:r>
        <w:rPr>
          <w:rFonts w:ascii="Arial" w:eastAsia="Arial" w:hAnsi="Arial" w:cs="Arial"/>
          <w:b/>
          <w:bCs/>
          <w:sz w:val="20"/>
          <w:szCs w:val="20"/>
        </w:rPr>
        <w:t>Comitente Comprador</w:t>
      </w:r>
      <w:r>
        <w:rPr>
          <w:rFonts w:ascii="Arial" w:eastAsia="Arial" w:hAnsi="Arial" w:cs="Arial"/>
          <w:sz w:val="20"/>
          <w:szCs w:val="20"/>
        </w:rPr>
        <w:t xml:space="preserve"> aclarar el alcance del siguiente requisito técnico:</w:t>
      </w:r>
    </w:p>
    <w:p w14:paraId="37B32480" w14:textId="77777777" w:rsidR="00BE6367" w:rsidRDefault="00C90F6A">
      <w:pPr>
        <w:jc w:val="both"/>
        <w:rPr>
          <w:rFonts w:ascii="Arial" w:eastAsia="Arial" w:hAnsi="Arial" w:cs="Arial"/>
          <w:sz w:val="20"/>
          <w:szCs w:val="20"/>
        </w:rPr>
      </w:pPr>
      <w:r>
        <w:rPr>
          <w:rFonts w:ascii="Arial" w:eastAsia="Arial" w:hAnsi="Arial" w:cs="Arial"/>
          <w:i/>
          <w:iCs/>
          <w:sz w:val="20"/>
          <w:szCs w:val="20"/>
        </w:rPr>
        <w:t>"CPU de 10 núcleos mínimo, GPU integrada deberá disponer de 10 núcleos mínimo. Deberá incluir un motor neuronal dedicado, con capacidad mínima de 32 núcleos."</w:t>
      </w:r>
    </w:p>
    <w:p w14:paraId="6E8C2122"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Lo anterior, teniendo en cuenta que, de acuerdo con la arquitectura de los procesadores de última generación para equipos portátiles como tabletas, actualmente no existen soluciones comerciales que incorporen un </w:t>
      </w:r>
      <w:r>
        <w:rPr>
          <w:rFonts w:ascii="Arial" w:eastAsia="Arial" w:hAnsi="Arial" w:cs="Arial"/>
          <w:b/>
          <w:bCs/>
          <w:sz w:val="20"/>
          <w:szCs w:val="20"/>
        </w:rPr>
        <w:t>motor neuronal (NPU) con treinta y dos (32) núcleos físicos dedicados</w:t>
      </w:r>
      <w:r>
        <w:rPr>
          <w:rFonts w:ascii="Arial" w:eastAsia="Arial" w:hAnsi="Arial" w:cs="Arial"/>
          <w:sz w:val="20"/>
          <w:szCs w:val="20"/>
        </w:rPr>
        <w:t>. Los fabricantes implementan motores neuronales con un número inferior de núcleos físicos, los cuales complementan su capacidad mediante aceleradores neuronales y otras tecnologías especializadas de procesamiento de Inteligencia Artificial, permitiendo alcanzar el desempeño requerido sin incrementar el número de núcleos físicos.</w:t>
      </w:r>
    </w:p>
    <w:p w14:paraId="10DFFF01"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De igual forma, se evidencia que la especificación de </w:t>
      </w:r>
      <w:r>
        <w:rPr>
          <w:rFonts w:ascii="Arial" w:eastAsia="Arial" w:hAnsi="Arial" w:cs="Arial"/>
          <w:b/>
          <w:bCs/>
          <w:sz w:val="20"/>
          <w:szCs w:val="20"/>
        </w:rPr>
        <w:t>CPU con mínimo diez (10) núcleos</w:t>
      </w:r>
      <w:r>
        <w:rPr>
          <w:rFonts w:ascii="Arial" w:eastAsia="Arial" w:hAnsi="Arial" w:cs="Arial"/>
          <w:sz w:val="20"/>
          <w:szCs w:val="20"/>
        </w:rPr>
        <w:t xml:space="preserve"> restringe la participación de configuraciones comerciales ampliamente disponibles en el mercado. En particular, existen equipos que cumplen con las características de almacenamiento de </w:t>
      </w:r>
      <w:r>
        <w:rPr>
          <w:rFonts w:ascii="Arial" w:eastAsia="Arial" w:hAnsi="Arial" w:cs="Arial"/>
          <w:b/>
          <w:bCs/>
          <w:sz w:val="20"/>
          <w:szCs w:val="20"/>
        </w:rPr>
        <w:t>512 GB</w:t>
      </w:r>
      <w:r>
        <w:rPr>
          <w:rFonts w:ascii="Arial" w:eastAsia="Arial" w:hAnsi="Arial" w:cs="Arial"/>
          <w:sz w:val="20"/>
          <w:szCs w:val="20"/>
        </w:rPr>
        <w:t xml:space="preserve"> y </w:t>
      </w:r>
      <w:r>
        <w:rPr>
          <w:rFonts w:ascii="Arial" w:eastAsia="Arial" w:hAnsi="Arial" w:cs="Arial"/>
          <w:b/>
          <w:bCs/>
          <w:sz w:val="20"/>
          <w:szCs w:val="20"/>
        </w:rPr>
        <w:t>12 GB de memoria unificada</w:t>
      </w:r>
      <w:r>
        <w:rPr>
          <w:rFonts w:ascii="Arial" w:eastAsia="Arial" w:hAnsi="Arial" w:cs="Arial"/>
          <w:sz w:val="20"/>
          <w:szCs w:val="20"/>
        </w:rPr>
        <w:t xml:space="preserve">, cuya arquitectura de fábrica incorpora </w:t>
      </w:r>
      <w:r>
        <w:rPr>
          <w:rFonts w:ascii="Arial" w:eastAsia="Arial" w:hAnsi="Arial" w:cs="Arial"/>
          <w:b/>
          <w:bCs/>
          <w:sz w:val="20"/>
          <w:szCs w:val="20"/>
        </w:rPr>
        <w:t>CPU de nueve (9) núcleos</w:t>
      </w:r>
      <w:r>
        <w:rPr>
          <w:rFonts w:ascii="Arial" w:eastAsia="Arial" w:hAnsi="Arial" w:cs="Arial"/>
          <w:sz w:val="20"/>
          <w:szCs w:val="20"/>
        </w:rPr>
        <w:t xml:space="preserve">, manteniendo la </w:t>
      </w:r>
      <w:r>
        <w:rPr>
          <w:rFonts w:ascii="Arial" w:eastAsia="Arial" w:hAnsi="Arial" w:cs="Arial"/>
          <w:b/>
          <w:bCs/>
          <w:sz w:val="20"/>
          <w:szCs w:val="20"/>
        </w:rPr>
        <w:t>GPU de diez (10) núcleos</w:t>
      </w:r>
      <w:r>
        <w:rPr>
          <w:rFonts w:ascii="Arial" w:eastAsia="Arial" w:hAnsi="Arial" w:cs="Arial"/>
          <w:sz w:val="20"/>
          <w:szCs w:val="20"/>
        </w:rPr>
        <w:t xml:space="preserve"> y el mismo motor neuronal, sin que ello represente una disminución significativa en el desempeño del equipo para las actividades propias del objeto contractual.</w:t>
      </w:r>
    </w:p>
    <w:p w14:paraId="7C468155"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En este sentido, agradecemos al </w:t>
      </w:r>
      <w:r>
        <w:rPr>
          <w:rFonts w:ascii="Arial" w:eastAsia="Arial" w:hAnsi="Arial" w:cs="Arial"/>
          <w:b/>
          <w:bCs/>
          <w:sz w:val="20"/>
          <w:szCs w:val="20"/>
        </w:rPr>
        <w:t>Comitente Comprador</w:t>
      </w:r>
      <w:r>
        <w:rPr>
          <w:rFonts w:ascii="Arial" w:eastAsia="Arial" w:hAnsi="Arial" w:cs="Arial"/>
          <w:sz w:val="20"/>
          <w:szCs w:val="20"/>
        </w:rPr>
        <w:t xml:space="preserve"> indicar si el requisito debe entenderse como:</w:t>
      </w:r>
    </w:p>
    <w:p w14:paraId="37DC8E05" w14:textId="77777777" w:rsidR="00BE6367" w:rsidRDefault="00C90F6A">
      <w:pPr>
        <w:numPr>
          <w:ilvl w:val="0"/>
          <w:numId w:val="62"/>
        </w:numPr>
        <w:jc w:val="both"/>
        <w:rPr>
          <w:rFonts w:ascii="Calibri" w:eastAsia="Calibri" w:hAnsi="Calibri" w:cs="Calibri"/>
        </w:rPr>
      </w:pPr>
      <w:r>
        <w:rPr>
          <w:rFonts w:ascii="Arial" w:eastAsia="Arial" w:hAnsi="Arial" w:cs="Arial"/>
          <w:b/>
          <w:bCs/>
          <w:sz w:val="20"/>
          <w:szCs w:val="20"/>
        </w:rPr>
        <w:t>Un motor neuronal con un mínimo de dieciséis (16) núcleos físicos</w:t>
      </w:r>
      <w:r>
        <w:rPr>
          <w:rFonts w:ascii="Arial" w:eastAsia="Arial" w:hAnsi="Arial" w:cs="Arial"/>
          <w:sz w:val="20"/>
          <w:szCs w:val="20"/>
        </w:rPr>
        <w:t xml:space="preserve">, correspondiente a la arquitectura disponible en procesadores de última generación para equipos portátiles; o </w:t>
      </w:r>
    </w:p>
    <w:p w14:paraId="23411E46" w14:textId="77777777" w:rsidR="00BE6367" w:rsidRDefault="00C90F6A">
      <w:pPr>
        <w:numPr>
          <w:ilvl w:val="0"/>
          <w:numId w:val="62"/>
        </w:numPr>
        <w:jc w:val="both"/>
        <w:rPr>
          <w:rFonts w:ascii="Calibri" w:eastAsia="Calibri" w:hAnsi="Calibri" w:cs="Calibri"/>
        </w:rPr>
      </w:pPr>
      <w:r>
        <w:rPr>
          <w:rFonts w:ascii="Arial" w:eastAsia="Arial" w:hAnsi="Arial" w:cs="Arial"/>
          <w:b/>
          <w:bCs/>
          <w:sz w:val="20"/>
          <w:szCs w:val="20"/>
        </w:rPr>
        <w:t>Una capacidad equivalente de treinta y dos (32) núcleos mediante tecnologías de aceleración neuronal integradas por hardware</w:t>
      </w:r>
      <w:r>
        <w:rPr>
          <w:rFonts w:ascii="Arial" w:eastAsia="Arial" w:hAnsi="Arial" w:cs="Arial"/>
          <w:sz w:val="20"/>
          <w:szCs w:val="20"/>
        </w:rPr>
        <w:t xml:space="preserve">, independientemente del número de núcleos físicos que implemente el fabricante. </w:t>
      </w:r>
    </w:p>
    <w:p w14:paraId="14332FB6"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En caso de que la intención del </w:t>
      </w:r>
      <w:r>
        <w:rPr>
          <w:rFonts w:ascii="Arial" w:eastAsia="Arial" w:hAnsi="Arial" w:cs="Arial"/>
          <w:b/>
          <w:bCs/>
          <w:sz w:val="20"/>
          <w:szCs w:val="20"/>
        </w:rPr>
        <w:t>Comitente Comprador</w:t>
      </w:r>
      <w:r>
        <w:rPr>
          <w:rFonts w:ascii="Arial" w:eastAsia="Arial" w:hAnsi="Arial" w:cs="Arial"/>
          <w:sz w:val="20"/>
          <w:szCs w:val="20"/>
        </w:rPr>
        <w:t xml:space="preserve"> sea exigir únicamente el número de núcleos físicos, respetuosamente sugerimos modificar la especificación de la siguiente manera:</w:t>
      </w:r>
    </w:p>
    <w:p w14:paraId="0ABA0926" w14:textId="77777777" w:rsidR="00BE6367" w:rsidRDefault="00C90F6A">
      <w:pPr>
        <w:jc w:val="both"/>
        <w:rPr>
          <w:rFonts w:ascii="Arial" w:eastAsia="Arial" w:hAnsi="Arial" w:cs="Arial"/>
          <w:sz w:val="20"/>
          <w:szCs w:val="20"/>
        </w:rPr>
      </w:pPr>
      <w:r>
        <w:rPr>
          <w:rFonts w:ascii="Arial" w:eastAsia="Arial" w:hAnsi="Arial" w:cs="Arial"/>
          <w:b/>
          <w:bCs/>
          <w:sz w:val="20"/>
          <w:szCs w:val="20"/>
        </w:rPr>
        <w:t>"CPU de mínimo nueve (9) núcleos, GPU integrada de mínimo diez (10) núcleos. Deberá incluir acelerador y un motor neuronales dedicado con un mínimo de dieciséis (16) núcleos físicos."</w:t>
      </w:r>
    </w:p>
    <w:p w14:paraId="1DFDBAD8"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Lo anterior permitirá la participación de configuraciones comerciales con </w:t>
      </w:r>
      <w:r>
        <w:rPr>
          <w:rFonts w:ascii="Arial" w:eastAsia="Arial" w:hAnsi="Arial" w:cs="Arial"/>
          <w:b/>
          <w:bCs/>
          <w:sz w:val="20"/>
          <w:szCs w:val="20"/>
        </w:rPr>
        <w:t>512 GB de almacenamiento y 12 GB de memoria unificada</w:t>
      </w:r>
      <w:r>
        <w:rPr>
          <w:rFonts w:ascii="Arial" w:eastAsia="Arial" w:hAnsi="Arial" w:cs="Arial"/>
          <w:sz w:val="20"/>
          <w:szCs w:val="20"/>
        </w:rPr>
        <w:t xml:space="preserve">, las cuales, por diseño del fabricante, incorporan una CPU de nueve (9) núcleos, sin afectar el desempeño, las capacidades de Inteligencia Artificial ni la funcionalidad requerida por el </w:t>
      </w:r>
      <w:r>
        <w:rPr>
          <w:rFonts w:ascii="Arial" w:eastAsia="Arial" w:hAnsi="Arial" w:cs="Arial"/>
          <w:b/>
          <w:bCs/>
          <w:sz w:val="20"/>
          <w:szCs w:val="20"/>
        </w:rPr>
        <w:t>Comitente Comprador</w:t>
      </w:r>
      <w:r>
        <w:rPr>
          <w:rFonts w:ascii="Arial" w:eastAsia="Arial" w:hAnsi="Arial" w:cs="Arial"/>
          <w:sz w:val="20"/>
          <w:szCs w:val="20"/>
        </w:rPr>
        <w:t>.</w:t>
      </w:r>
    </w:p>
    <w:p w14:paraId="29F5A140"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Esta aclaración permitirá una interpretación unívoca del requisito y evitará inconvenientes en la presentación y evaluación de las ofertas, garantizando a su vez la pluralidad de oferentes sin afectar la capacidad de procesamiento de Inteligencia Artificial requerida por el </w:t>
      </w:r>
      <w:r>
        <w:rPr>
          <w:rFonts w:ascii="Arial" w:eastAsia="Arial" w:hAnsi="Arial" w:cs="Arial"/>
          <w:b/>
          <w:bCs/>
          <w:sz w:val="20"/>
          <w:szCs w:val="20"/>
        </w:rPr>
        <w:t>Comitente Comprador</w:t>
      </w:r>
      <w:r>
        <w:rPr>
          <w:rFonts w:ascii="Arial" w:eastAsia="Arial" w:hAnsi="Arial" w:cs="Arial"/>
          <w:sz w:val="20"/>
          <w:szCs w:val="20"/>
        </w:rPr>
        <w:t>.</w:t>
      </w:r>
    </w:p>
    <w:p w14:paraId="4F37D13E"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2B630BD2"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Se acepta parcialmente la observación, teniendo en cuenta la disponibilidad de este tipo de procesadores en el mercado y las características que pueden suplir las necesidades de los usuarios. El requerimiento quedará establecido de la siguiente manera: CPU de 9 núcleos </w:t>
      </w:r>
      <w:r>
        <w:rPr>
          <w:rFonts w:ascii="Arial" w:eastAsia="Arial" w:hAnsi="Arial" w:cs="Arial"/>
          <w:sz w:val="20"/>
          <w:szCs w:val="20"/>
        </w:rPr>
        <w:lastRenderedPageBreak/>
        <w:t>mínimo, GPU integrada con 10 núcleos mínimo, motor neuronal dedicado con capacidad mínima de 16 núcleos o superior, fecha de lanzamiento posterior al segundo trimestre de 2025.</w:t>
      </w:r>
    </w:p>
    <w:p w14:paraId="11C93808" w14:textId="77777777" w:rsidR="00BE6367" w:rsidRDefault="00BE6367">
      <w:pPr>
        <w:jc w:val="both"/>
        <w:rPr>
          <w:rFonts w:ascii="Arial" w:eastAsia="Arial" w:hAnsi="Arial" w:cs="Arial"/>
          <w:b/>
          <w:bCs/>
          <w:sz w:val="20"/>
          <w:szCs w:val="20"/>
        </w:rPr>
      </w:pPr>
    </w:p>
    <w:p w14:paraId="6F773BFB" w14:textId="77777777" w:rsidR="00BE6367" w:rsidRDefault="00BE6367">
      <w:pPr>
        <w:jc w:val="both"/>
        <w:rPr>
          <w:rFonts w:ascii="Arial" w:eastAsia="Arial" w:hAnsi="Arial" w:cs="Arial"/>
          <w:b/>
          <w:bCs/>
          <w:sz w:val="20"/>
          <w:szCs w:val="20"/>
        </w:rPr>
      </w:pPr>
    </w:p>
    <w:p w14:paraId="4C450B69" w14:textId="77777777" w:rsidR="00BE6367" w:rsidRDefault="00BE6367">
      <w:pPr>
        <w:jc w:val="both"/>
        <w:rPr>
          <w:rFonts w:ascii="Arial" w:eastAsia="Arial" w:hAnsi="Arial" w:cs="Arial"/>
          <w:b/>
          <w:bCs/>
          <w:sz w:val="20"/>
          <w:szCs w:val="20"/>
        </w:rPr>
      </w:pPr>
    </w:p>
    <w:p w14:paraId="0FD3A579" w14:textId="77777777" w:rsidR="00BE6367" w:rsidRDefault="00BE6367">
      <w:pPr>
        <w:jc w:val="both"/>
        <w:rPr>
          <w:rFonts w:ascii="Arial" w:eastAsia="Arial" w:hAnsi="Arial" w:cs="Arial"/>
          <w:b/>
          <w:bCs/>
          <w:sz w:val="20"/>
          <w:szCs w:val="20"/>
        </w:rPr>
      </w:pPr>
    </w:p>
    <w:p w14:paraId="457FBCC4" w14:textId="77777777" w:rsidR="00BE6367" w:rsidRDefault="00BE6367">
      <w:pPr>
        <w:jc w:val="both"/>
        <w:rPr>
          <w:rFonts w:ascii="Arial" w:eastAsia="Arial" w:hAnsi="Arial" w:cs="Arial"/>
          <w:b/>
          <w:bCs/>
          <w:sz w:val="20"/>
          <w:szCs w:val="20"/>
        </w:rPr>
      </w:pPr>
    </w:p>
    <w:p w14:paraId="507992AE" w14:textId="77777777" w:rsidR="00BE6367" w:rsidRDefault="00C90F6A">
      <w:pPr>
        <w:jc w:val="both"/>
        <w:rPr>
          <w:rFonts w:ascii="Arial" w:eastAsia="Arial" w:hAnsi="Arial" w:cs="Arial"/>
          <w:sz w:val="20"/>
          <w:szCs w:val="20"/>
        </w:rPr>
      </w:pPr>
      <w:r>
        <w:rPr>
          <w:rFonts w:ascii="Arial" w:eastAsia="Arial" w:hAnsi="Arial" w:cs="Arial"/>
          <w:b/>
          <w:bCs/>
          <w:sz w:val="20"/>
          <w:szCs w:val="20"/>
        </w:rPr>
        <w:t>ITEM: AUDIFONO CON MICRÓFONO (DIADEMA):</w:t>
      </w:r>
    </w:p>
    <w:p w14:paraId="62FCF121" w14:textId="77777777" w:rsidR="00BE6367" w:rsidRDefault="00BE6367">
      <w:pPr>
        <w:jc w:val="both"/>
        <w:rPr>
          <w:rFonts w:ascii="Arial" w:eastAsia="Arial" w:hAnsi="Arial" w:cs="Arial"/>
          <w:sz w:val="20"/>
          <w:szCs w:val="20"/>
        </w:rPr>
      </w:pPr>
    </w:p>
    <w:p w14:paraId="1CBB699D" w14:textId="77777777" w:rsidR="00BE6367" w:rsidRDefault="00C90F6A">
      <w:pPr>
        <w:jc w:val="both"/>
        <w:rPr>
          <w:rFonts w:ascii="Arial" w:eastAsia="Arial" w:hAnsi="Arial" w:cs="Arial"/>
          <w:sz w:val="20"/>
          <w:szCs w:val="20"/>
        </w:rPr>
      </w:pPr>
      <w:r>
        <w:rPr>
          <w:rFonts w:ascii="Arial" w:eastAsia="Arial" w:hAnsi="Arial" w:cs="Arial"/>
          <w:b/>
          <w:bCs/>
          <w:sz w:val="20"/>
          <w:szCs w:val="20"/>
        </w:rPr>
        <w:t>Observación 21– AUDIFONO CON MICRÓFONO (DIADEMA):</w:t>
      </w:r>
    </w:p>
    <w:p w14:paraId="5CCF71B8"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En el requisito de </w:t>
      </w:r>
      <w:r>
        <w:rPr>
          <w:rFonts w:ascii="Arial" w:eastAsia="Arial" w:hAnsi="Arial" w:cs="Arial"/>
          <w:b/>
          <w:bCs/>
          <w:sz w:val="20"/>
          <w:szCs w:val="20"/>
        </w:rPr>
        <w:t>Alimentación</w:t>
      </w:r>
      <w:r>
        <w:rPr>
          <w:rFonts w:ascii="Arial" w:eastAsia="Arial" w:hAnsi="Arial" w:cs="Arial"/>
          <w:sz w:val="20"/>
          <w:szCs w:val="20"/>
        </w:rPr>
        <w:t xml:space="preserve"> se establece una </w:t>
      </w:r>
      <w:r>
        <w:rPr>
          <w:rFonts w:ascii="Arial" w:eastAsia="Arial" w:hAnsi="Arial" w:cs="Arial"/>
          <w:b/>
          <w:bCs/>
          <w:sz w:val="20"/>
          <w:szCs w:val="20"/>
        </w:rPr>
        <w:t>"batería de duración de hasta 22 horas"</w:t>
      </w:r>
      <w:r>
        <w:rPr>
          <w:rFonts w:ascii="Arial" w:eastAsia="Arial" w:hAnsi="Arial" w:cs="Arial"/>
          <w:sz w:val="20"/>
          <w:szCs w:val="20"/>
        </w:rPr>
        <w:t xml:space="preserve">. Al respecto, se solicita a la Entidad aclarar si </w:t>
      </w:r>
      <w:r>
        <w:rPr>
          <w:rFonts w:ascii="Arial" w:eastAsia="Arial" w:hAnsi="Arial" w:cs="Arial"/>
          <w:b/>
          <w:bCs/>
          <w:sz w:val="20"/>
          <w:szCs w:val="20"/>
        </w:rPr>
        <w:t>también serán aceptadas diademas con una autonomía de batería superior a las 22 horas</w:t>
      </w:r>
      <w:r>
        <w:rPr>
          <w:rFonts w:ascii="Arial" w:eastAsia="Arial" w:hAnsi="Arial" w:cs="Arial"/>
          <w:sz w:val="20"/>
          <w:szCs w:val="20"/>
        </w:rPr>
        <w:t>, considerando que la duración de la batería varía en función del modo de operación, de acuerdo con las especificaciones del fabricante.</w:t>
      </w:r>
    </w:p>
    <w:p w14:paraId="1D4A76D7"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En ese sentido, agradeceremos confirmar que </w:t>
      </w:r>
      <w:r>
        <w:rPr>
          <w:rFonts w:ascii="Arial" w:eastAsia="Arial" w:hAnsi="Arial" w:cs="Arial"/>
          <w:b/>
          <w:bCs/>
          <w:sz w:val="20"/>
          <w:szCs w:val="20"/>
        </w:rPr>
        <w:t>serán aceptadas diademas con una autonomía igual o mayor a la indicada</w:t>
      </w:r>
      <w:r>
        <w:rPr>
          <w:rFonts w:ascii="Arial" w:eastAsia="Arial" w:hAnsi="Arial" w:cs="Arial"/>
          <w:sz w:val="20"/>
          <w:szCs w:val="20"/>
        </w:rPr>
        <w:t>, por representar una mejora en el desempeño del producto y no afectar el cumplimiento de las demás especificaciones técnicas requeridas.</w:t>
      </w:r>
    </w:p>
    <w:p w14:paraId="4CBDC529"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2741926F" w14:textId="77777777" w:rsidR="00BE6367" w:rsidRDefault="00C90F6A">
      <w:pPr>
        <w:jc w:val="both"/>
        <w:rPr>
          <w:rFonts w:ascii="Arial" w:eastAsia="Arial" w:hAnsi="Arial" w:cs="Arial"/>
          <w:sz w:val="20"/>
          <w:szCs w:val="20"/>
        </w:rPr>
      </w:pPr>
      <w:r>
        <w:rPr>
          <w:rFonts w:ascii="Arial" w:eastAsia="Arial" w:hAnsi="Arial" w:cs="Arial"/>
          <w:sz w:val="20"/>
          <w:szCs w:val="20"/>
        </w:rPr>
        <w:t>Se aclara que la duración de la batería será validada conforme a las especificaciones oficiales del fabricante, independientemente del modo de operación bajo el cual haya sido determinada, siempre que se acredite el cumplimiento de la autonomía establecida en la ficha técnica y de los demás requisitos técnicos exigidos.</w:t>
      </w:r>
    </w:p>
    <w:p w14:paraId="199B6C51" w14:textId="77777777" w:rsidR="00BE6367" w:rsidRDefault="00C90F6A">
      <w:pPr>
        <w:jc w:val="both"/>
        <w:rPr>
          <w:rFonts w:ascii="Arial" w:eastAsia="Arial" w:hAnsi="Arial" w:cs="Arial"/>
          <w:sz w:val="20"/>
          <w:szCs w:val="20"/>
        </w:rPr>
      </w:pPr>
      <w:r>
        <w:rPr>
          <w:rFonts w:ascii="Arial" w:eastAsia="Arial" w:hAnsi="Arial" w:cs="Arial"/>
          <w:b/>
          <w:bCs/>
          <w:sz w:val="20"/>
          <w:szCs w:val="20"/>
        </w:rPr>
        <w:t>ITEM: TARJETAS DE MEMORIA:</w:t>
      </w:r>
    </w:p>
    <w:p w14:paraId="7A97178B"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22-TARJETAS DE MEMORIA:</w:t>
      </w:r>
    </w:p>
    <w:p w14:paraId="116F3193"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En las especificaciones técnicas del accesorio </w:t>
      </w:r>
      <w:r>
        <w:rPr>
          <w:rFonts w:ascii="Arial" w:eastAsia="Arial" w:hAnsi="Arial" w:cs="Arial"/>
          <w:b/>
          <w:bCs/>
          <w:sz w:val="20"/>
          <w:szCs w:val="20"/>
        </w:rPr>
        <w:t>"Tarjetas de memoria SD de 128 GB, velocidad de escritura de más de 90 MB/s, material robusto, resistente a golpes"</w:t>
      </w:r>
      <w:r>
        <w:rPr>
          <w:rFonts w:ascii="Arial" w:eastAsia="Arial" w:hAnsi="Arial" w:cs="Arial"/>
          <w:sz w:val="20"/>
          <w:szCs w:val="20"/>
        </w:rPr>
        <w:t xml:space="preserve">, se solicita a la Entidad </w:t>
      </w:r>
      <w:r>
        <w:rPr>
          <w:rFonts w:ascii="Arial" w:eastAsia="Arial" w:hAnsi="Arial" w:cs="Arial"/>
          <w:b/>
          <w:bCs/>
          <w:sz w:val="20"/>
          <w:szCs w:val="20"/>
        </w:rPr>
        <w:t>precisar el equipo, dispositivo o aplicación para el cual serán destinadas dichas tarjetas de memoria</w:t>
      </w:r>
      <w:r>
        <w:rPr>
          <w:rFonts w:ascii="Arial" w:eastAsia="Arial" w:hAnsi="Arial" w:cs="Arial"/>
          <w:sz w:val="20"/>
          <w:szCs w:val="20"/>
        </w:rPr>
        <w:t>, o, en su defecto, indicar si existe algún requisito de compatibilidad específico.</w:t>
      </w:r>
    </w:p>
    <w:p w14:paraId="71CD9477" w14:textId="77777777" w:rsidR="00BE6367" w:rsidRDefault="00C90F6A">
      <w:pPr>
        <w:jc w:val="both"/>
        <w:rPr>
          <w:rFonts w:ascii="Arial" w:eastAsia="Arial" w:hAnsi="Arial" w:cs="Arial"/>
          <w:sz w:val="20"/>
          <w:szCs w:val="20"/>
        </w:rPr>
      </w:pPr>
      <w:r>
        <w:rPr>
          <w:rFonts w:ascii="Arial" w:eastAsia="Arial" w:hAnsi="Arial" w:cs="Arial"/>
          <w:sz w:val="20"/>
          <w:szCs w:val="20"/>
        </w:rPr>
        <w:t>Lo anterior permitirá a los proponentes ofertar tarjetas de memoria plenamente compatibles con el uso previsto por la Entidad, garantizando el correcto funcionamiento y evitando interpretaciones distintas durante la evaluación de las ofertas.</w:t>
      </w:r>
    </w:p>
    <w:p w14:paraId="76C57EAE"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1199D752" w14:textId="77777777" w:rsidR="00BE6367" w:rsidRDefault="00C90F6A">
      <w:pPr>
        <w:jc w:val="both"/>
        <w:rPr>
          <w:rFonts w:ascii="Arial" w:eastAsia="Arial" w:hAnsi="Arial" w:cs="Arial"/>
          <w:sz w:val="20"/>
          <w:szCs w:val="20"/>
        </w:rPr>
      </w:pPr>
      <w:r>
        <w:rPr>
          <w:rFonts w:ascii="Arial" w:eastAsia="Arial" w:hAnsi="Arial" w:cs="Arial"/>
          <w:sz w:val="20"/>
          <w:szCs w:val="20"/>
        </w:rPr>
        <w:t>Se aclara que las especificaciones mínimas requeridas para las tarjetas de memoria corresponden a las establecidas en la respectiva ficha técnica de producto. En consecuencia, los oferentes deberán presentar una solución que cumpla con dichas características mínimas, garantizando su compatibilidad y adecuado funcionamiento conforme a las necesidades previstas para el presente proceso.</w:t>
      </w:r>
    </w:p>
    <w:p w14:paraId="55E60CE0" w14:textId="77777777" w:rsidR="00BE6367" w:rsidRDefault="00BE6367">
      <w:pPr>
        <w:jc w:val="both"/>
        <w:rPr>
          <w:rFonts w:ascii="Arial" w:eastAsia="Arial" w:hAnsi="Arial" w:cs="Arial"/>
          <w:sz w:val="20"/>
          <w:szCs w:val="20"/>
        </w:rPr>
      </w:pPr>
    </w:p>
    <w:p w14:paraId="7588CE08" w14:textId="77777777" w:rsidR="00BE6367" w:rsidRDefault="00BE6367">
      <w:pPr>
        <w:jc w:val="both"/>
        <w:rPr>
          <w:rFonts w:ascii="Arial" w:eastAsia="Arial" w:hAnsi="Arial" w:cs="Arial"/>
          <w:sz w:val="20"/>
          <w:szCs w:val="20"/>
        </w:rPr>
      </w:pPr>
    </w:p>
    <w:p w14:paraId="1C54EEE3" w14:textId="77777777" w:rsidR="00BE6367" w:rsidRDefault="00BE6367">
      <w:pPr>
        <w:jc w:val="both"/>
        <w:rPr>
          <w:rFonts w:ascii="Arial" w:eastAsia="Arial" w:hAnsi="Arial" w:cs="Arial"/>
          <w:sz w:val="20"/>
          <w:szCs w:val="20"/>
        </w:rPr>
      </w:pPr>
    </w:p>
    <w:p w14:paraId="015D3630" w14:textId="77777777" w:rsidR="00BE6367" w:rsidRDefault="00BE6367">
      <w:pPr>
        <w:jc w:val="both"/>
        <w:rPr>
          <w:rFonts w:ascii="Arial" w:eastAsia="Arial" w:hAnsi="Arial" w:cs="Arial"/>
          <w:sz w:val="20"/>
          <w:szCs w:val="20"/>
        </w:rPr>
      </w:pPr>
    </w:p>
    <w:p w14:paraId="6FF479FF" w14:textId="77777777" w:rsidR="00BE6367" w:rsidRDefault="00BE6367">
      <w:pPr>
        <w:jc w:val="both"/>
        <w:rPr>
          <w:rFonts w:ascii="Arial" w:eastAsia="Arial" w:hAnsi="Arial" w:cs="Arial"/>
          <w:sz w:val="20"/>
          <w:szCs w:val="20"/>
        </w:rPr>
      </w:pPr>
    </w:p>
    <w:p w14:paraId="10F90C13" w14:textId="77777777" w:rsidR="00BE6367" w:rsidRDefault="00C90F6A">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b/>
          <w:bCs/>
          <w:color w:val="000000"/>
          <w:sz w:val="20"/>
          <w:szCs w:val="20"/>
        </w:rPr>
        <w:t>ITEM: SOFTWARE DE AUDIENCIAS:</w:t>
      </w:r>
    </w:p>
    <w:p w14:paraId="3D50EB3A"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23:</w:t>
      </w:r>
    </w:p>
    <w:p w14:paraId="645CDDFE" w14:textId="77777777" w:rsidR="00BE6367" w:rsidRDefault="00C90F6A">
      <w:pPr>
        <w:jc w:val="both"/>
        <w:rPr>
          <w:rFonts w:ascii="Arial" w:eastAsia="Arial" w:hAnsi="Arial" w:cs="Arial"/>
          <w:sz w:val="20"/>
          <w:szCs w:val="20"/>
        </w:rPr>
      </w:pPr>
      <w:r>
        <w:rPr>
          <w:rFonts w:ascii="Arial" w:eastAsia="Arial" w:hAnsi="Arial" w:cs="Arial"/>
          <w:sz w:val="20"/>
          <w:szCs w:val="20"/>
        </w:rPr>
        <w:t>Solicitamos a la entidad, se aclare cuál es el tiempo de contrato del software de audiencias</w:t>
      </w:r>
    </w:p>
    <w:p w14:paraId="59BD55E1" w14:textId="77777777" w:rsidR="00BE6367" w:rsidRDefault="00C90F6A">
      <w:pPr>
        <w:jc w:val="both"/>
        <w:rPr>
          <w:rFonts w:ascii="Arial" w:eastAsia="Arial" w:hAnsi="Arial" w:cs="Arial"/>
          <w:sz w:val="20"/>
          <w:szCs w:val="20"/>
        </w:rPr>
      </w:pPr>
      <w:r>
        <w:rPr>
          <w:rFonts w:ascii="Arial" w:eastAsia="Arial" w:hAnsi="Arial" w:cs="Arial"/>
          <w:b/>
          <w:bCs/>
          <w:sz w:val="20"/>
          <w:szCs w:val="20"/>
        </w:rPr>
        <w:t xml:space="preserve">RESPUESTA A LA OBSERVACIÓN: </w:t>
      </w:r>
      <w:r>
        <w:rPr>
          <w:rFonts w:ascii="Arial" w:eastAsia="Arial" w:hAnsi="Arial" w:cs="Arial"/>
          <w:sz w:val="20"/>
          <w:szCs w:val="20"/>
        </w:rPr>
        <w:t xml:space="preserve">El contrato para el software de gestión de audiencias debe contemplarse por un plazo inicial de doce (12) meses, prorrogable por períodos iguales o superiores, cubriendo licenciamiento, soporte y mantenimiento de la solución durante la vigencia contratada. </w:t>
      </w:r>
    </w:p>
    <w:p w14:paraId="4F947533"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24:</w:t>
      </w:r>
    </w:p>
    <w:p w14:paraId="0D6104EA" w14:textId="77777777" w:rsidR="00BE6367" w:rsidRDefault="00C90F6A">
      <w:pPr>
        <w:jc w:val="both"/>
        <w:rPr>
          <w:rFonts w:ascii="Arial" w:eastAsia="Arial" w:hAnsi="Arial" w:cs="Arial"/>
          <w:sz w:val="20"/>
          <w:szCs w:val="20"/>
        </w:rPr>
      </w:pPr>
      <w:r>
        <w:rPr>
          <w:rFonts w:ascii="Arial" w:eastAsia="Arial" w:hAnsi="Arial" w:cs="Arial"/>
          <w:sz w:val="20"/>
          <w:szCs w:val="20"/>
        </w:rPr>
        <w:t>Solicitamos a la entidad, confirmar el tiempo de implementación para salida a producción con la solución de software de audiencias.</w:t>
      </w:r>
    </w:p>
    <w:p w14:paraId="5E064140"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LA OBSERVACIÓN:</w:t>
      </w:r>
      <w:r>
        <w:rPr>
          <w:rFonts w:ascii="Arial" w:eastAsia="Arial" w:hAnsi="Arial" w:cs="Arial"/>
          <w:sz w:val="20"/>
          <w:szCs w:val="20"/>
        </w:rPr>
        <w:t xml:space="preserve"> La salida a producción de la solución de software de gestión de audiencias se espera que sea en máximo ocho (8) semanas, contadas a partir de la firma del acta de inicio.</w:t>
      </w:r>
    </w:p>
    <w:p w14:paraId="31020F97"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25:</w:t>
      </w:r>
    </w:p>
    <w:p w14:paraId="371CD771" w14:textId="77777777" w:rsidR="00BE6367" w:rsidRDefault="00C90F6A">
      <w:pPr>
        <w:jc w:val="both"/>
        <w:rPr>
          <w:rFonts w:ascii="Arial" w:eastAsia="Arial" w:hAnsi="Arial" w:cs="Arial"/>
          <w:sz w:val="20"/>
          <w:szCs w:val="20"/>
        </w:rPr>
      </w:pPr>
      <w:r>
        <w:rPr>
          <w:rFonts w:ascii="Arial" w:eastAsia="Arial" w:hAnsi="Arial" w:cs="Arial"/>
          <w:sz w:val="20"/>
          <w:szCs w:val="20"/>
        </w:rPr>
        <w:t>Solicitamos a la entidad, Por favor confirmar si los servidores y recursos computacionales serán suministrados por la entidad o serán parte del servicio de grabación de audiencias</w:t>
      </w:r>
    </w:p>
    <w:p w14:paraId="6881DDBE"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LA OBSERVACIÓN:</w:t>
      </w:r>
      <w:r>
        <w:rPr>
          <w:rFonts w:ascii="Arial" w:eastAsia="Arial" w:hAnsi="Arial" w:cs="Arial"/>
          <w:sz w:val="20"/>
          <w:szCs w:val="20"/>
        </w:rPr>
        <w:t>La solución deberá soportar despliegue tanto on-premise como en nube. Para el presente proceso, la modalidad de despliegue será on-premise, en infraestructura de servidores que deberá ser suministrada por el contratista dentro del alcance y presupuesto del presente proceso, la cual se instalará en las instalaciones de la Entidad, de modo que las grabaciones y su custodia permanezcan bajo el control directo de la Entidad.</w:t>
      </w:r>
    </w:p>
    <w:p w14:paraId="5924BE1A"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provisión de los servidores y recursos computacionales necesarios para el despliegue on-premise de la solución de grabación de audiencias se encuentra dentro del alcance del presente proceso y deberá ser incluida por el proponente dentro de su oferta económica</w:t>
      </w:r>
    </w:p>
    <w:p w14:paraId="719DE3DA"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26:</w:t>
      </w:r>
    </w:p>
    <w:p w14:paraId="513B1E6D" w14:textId="77777777" w:rsidR="00BE6367" w:rsidRDefault="00C90F6A">
      <w:pPr>
        <w:jc w:val="both"/>
        <w:rPr>
          <w:rFonts w:ascii="Arial" w:eastAsia="Arial" w:hAnsi="Arial" w:cs="Arial"/>
          <w:sz w:val="20"/>
          <w:szCs w:val="20"/>
        </w:rPr>
      </w:pPr>
      <w:r>
        <w:rPr>
          <w:rFonts w:ascii="Arial" w:eastAsia="Arial" w:hAnsi="Arial" w:cs="Arial"/>
          <w:sz w:val="20"/>
          <w:szCs w:val="20"/>
        </w:rPr>
        <w:t>Solicitamos a la entidad, aclarar si el servicio debe contar con soporte 5x8 o 7x24? asimismo por favor confirmar si se requiere soporte de fabricante en sitio?</w:t>
      </w:r>
    </w:p>
    <w:p w14:paraId="640B1BBB"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RESPUESTA A LA OBSERVACIÓN:</w:t>
      </w:r>
    </w:p>
    <w:p w14:paraId="1933B080" w14:textId="77777777" w:rsidR="00BE6367" w:rsidRDefault="00C90F6A">
      <w:pPr>
        <w:jc w:val="both"/>
        <w:rPr>
          <w:rFonts w:ascii="Arial" w:eastAsia="Arial" w:hAnsi="Arial" w:cs="Arial"/>
          <w:sz w:val="20"/>
          <w:szCs w:val="20"/>
        </w:rPr>
      </w:pPr>
      <w:r>
        <w:rPr>
          <w:rFonts w:ascii="Arial" w:eastAsia="Arial" w:hAnsi="Arial" w:cs="Arial"/>
          <w:sz w:val="20"/>
          <w:szCs w:val="20"/>
        </w:rPr>
        <w:t>La Entidad se permite aclarar que las condiciones de soporte y garantía se encuentran previstas en la Ficha Técnica de Negociación y en las fichas técnicas particulares de los productos.</w:t>
      </w:r>
    </w:p>
    <w:p w14:paraId="6F06D0A0"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 xml:space="preserve">De manera general, la Ficha Técnica de Negociación establece que el soporte y la garantía de calidad de los equipos deberán prestarse en el sitio de instalación durante el periodo definido. </w:t>
      </w:r>
    </w:p>
    <w:p w14:paraId="737E77D1"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Asimismo, la FTN establece que el servicio deberá prestarse, como mínimo, en horario de 7:00 a. m. a 6:00 p. m. durante los días hábiles, a lo largo del periodo de garantía contratado. En consecuencia, la condición general no corresponde estrictamente a un esquema 5x8, puesto que contempla una ventana mínima de atención de once horas durante cada día hábil.</w:t>
      </w:r>
    </w:p>
    <w:p w14:paraId="55C78A21"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lastRenderedPageBreak/>
        <w:t>En cuanto al soporte en sitio, se confirma que este es requerido. La garantía deberá atenderse en modalidad ON SITE, con cobertura de mano de obra y repuestos, y el comitente vendedor será responsable de coordinar y prestar la atención en el lugar donde se encuentre instalado el equipo.</w:t>
      </w:r>
    </w:p>
    <w:p w14:paraId="630B01E8"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aclara que el requisito no dispone, de manera general, que el técnico que se desplace al sitio deba ser empleado directo del fabricante. La responsabilidad frente a la Entidad corresponde al comitente vendedor, quien deberá garantizar la atención con personal autorizado y con el respaldo del fabricante cuando así lo exija la ficha técnica del producto.</w:t>
      </w:r>
    </w:p>
    <w:p w14:paraId="38550D07"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Por lo anterior, se aclara que el horario general mínimo de soporte es de 7:00 a. m. a 6:00 p. m. en días hábiles, sin perjuicio de las condiciones particulares de atención 24x7 establecidas para determinados productos, y que sí se requiere soporte técnico en sitio bajo responsabilidad del comitente vendedor.</w:t>
      </w:r>
    </w:p>
    <w:p w14:paraId="31E1A707"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27:</w:t>
      </w:r>
    </w:p>
    <w:p w14:paraId="38D17715" w14:textId="77777777" w:rsidR="00BE6367" w:rsidRDefault="00C90F6A">
      <w:pPr>
        <w:jc w:val="both"/>
        <w:rPr>
          <w:rFonts w:ascii="Arial" w:eastAsia="Arial" w:hAnsi="Arial" w:cs="Arial"/>
          <w:sz w:val="20"/>
          <w:szCs w:val="20"/>
        </w:rPr>
      </w:pPr>
      <w:r>
        <w:rPr>
          <w:rFonts w:ascii="Arial" w:eastAsia="Arial" w:hAnsi="Arial" w:cs="Arial"/>
          <w:sz w:val="20"/>
          <w:szCs w:val="20"/>
        </w:rPr>
        <w:t>Solicitamos a la entidad aclarar :¿Cuáles son los canales de streaming a los que el cliente desea enviar la señal de video?</w:t>
      </w:r>
    </w:p>
    <w:p w14:paraId="56D23BAA"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LA OBSERVACIÓN: </w:t>
      </w:r>
    </w:p>
    <w:p w14:paraId="5A47DD32"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La solución deberá permitir grabar y, opcionalmente, retransmitir la señal de video mediante protocolos estándar (RTMP/HLS), compatibles con las plataformas de streaming de uso común (tales como YouTube, portal institucional, u otras de similar naturaleza). El canal o canales específicos de destino serán definidos por la Entidad durante la etapa de implementación del contrato, sin que ello implique una modificación del alcance técnico exigido, el cual se circunscribe a que la solución cuente con la capacidad de transmisión mediante dichos protocolos estándar hacia cualquier plataforma compatible que la Entidad determine. </w:t>
      </w:r>
    </w:p>
    <w:p w14:paraId="11FDAB59" w14:textId="77777777" w:rsidR="00BE6367" w:rsidRDefault="00BE6367">
      <w:pPr>
        <w:jc w:val="both"/>
        <w:rPr>
          <w:rFonts w:ascii="Arial" w:eastAsia="Arial" w:hAnsi="Arial" w:cs="Arial"/>
          <w:sz w:val="20"/>
          <w:szCs w:val="20"/>
        </w:rPr>
      </w:pPr>
    </w:p>
    <w:p w14:paraId="4BA32330" w14:textId="77777777" w:rsidR="00BE6367" w:rsidRDefault="00C90F6A">
      <w:pPr>
        <w:jc w:val="both"/>
        <w:rPr>
          <w:rFonts w:ascii="Arial" w:eastAsia="Arial" w:hAnsi="Arial" w:cs="Arial"/>
          <w:sz w:val="20"/>
          <w:szCs w:val="20"/>
        </w:rPr>
      </w:pPr>
      <w:r>
        <w:rPr>
          <w:rFonts w:ascii="Arial" w:eastAsia="Arial" w:hAnsi="Arial" w:cs="Arial"/>
          <w:b/>
          <w:bCs/>
          <w:sz w:val="20"/>
          <w:szCs w:val="20"/>
        </w:rPr>
        <w:t>Observación 28:</w:t>
      </w:r>
    </w:p>
    <w:p w14:paraId="4C89C892" w14:textId="77777777" w:rsidR="00BE6367" w:rsidRDefault="00C90F6A">
      <w:pPr>
        <w:jc w:val="both"/>
        <w:rPr>
          <w:rFonts w:ascii="Arial" w:eastAsia="Arial" w:hAnsi="Arial" w:cs="Arial"/>
          <w:sz w:val="20"/>
          <w:szCs w:val="20"/>
        </w:rPr>
      </w:pPr>
      <w:r>
        <w:rPr>
          <w:rFonts w:ascii="Arial" w:eastAsia="Arial" w:hAnsi="Arial" w:cs="Arial"/>
          <w:sz w:val="20"/>
          <w:szCs w:val="20"/>
        </w:rPr>
        <w:t>¿Qué tipo de fuentes análogas y digitales tiene el cliente o si hace referencia a que el sistema debe contar para futuras integraciones?</w:t>
      </w:r>
    </w:p>
    <w:p w14:paraId="5CE0649A"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RESPUESTA A LA OBSERVACIÓN:</w:t>
      </w:r>
    </w:p>
    <w:p w14:paraId="27804070"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La solución deberá capturar de manera nativa fuentes digitales, correspondientes a sesiones de Microsoft Teams y dispositivos de video sobre IP. </w:t>
      </w:r>
    </w:p>
    <w:p w14:paraId="7E34D004"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Los detalles específicos de las conexiones (marcas, modelos, tipos de salida y demás características técnicas de los equipos a integrar) serán validados durante la etapa de implementación del contrato.</w:t>
      </w:r>
    </w:p>
    <w:p w14:paraId="4B1D26A8"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29:</w:t>
      </w:r>
    </w:p>
    <w:p w14:paraId="3860E8F4" w14:textId="77777777" w:rsidR="00BE6367" w:rsidRDefault="00C90F6A">
      <w:pPr>
        <w:jc w:val="both"/>
        <w:rPr>
          <w:rFonts w:ascii="Arial" w:eastAsia="Arial" w:hAnsi="Arial" w:cs="Arial"/>
          <w:sz w:val="20"/>
          <w:szCs w:val="20"/>
        </w:rPr>
      </w:pPr>
      <w:r>
        <w:rPr>
          <w:rFonts w:ascii="Arial" w:eastAsia="Arial" w:hAnsi="Arial" w:cs="Arial"/>
          <w:sz w:val="20"/>
          <w:szCs w:val="20"/>
        </w:rPr>
        <w:t>La búsqueda contextual y semántica debe ser con alguna IA especifica o puede ser la sugerida por el proveedor?. Se debe tener en cuenta que al ser un servicio de IA debe estar en nube o con salida a internet, a nivel de seguridad existe alguna condición o información que debamos tener como proveedores?</w:t>
      </w:r>
    </w:p>
    <w:p w14:paraId="78D59E05"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LA OBSERVACIÓN:</w:t>
      </w:r>
      <w:r>
        <w:rPr>
          <w:rFonts w:ascii="Arial" w:eastAsia="Arial" w:hAnsi="Arial" w:cs="Arial"/>
          <w:sz w:val="20"/>
          <w:szCs w:val="20"/>
        </w:rPr>
        <w:t xml:space="preserve"> El sistema debe permitir consultas en lenguaje natural sobre el contenido de cada sesión (búsqueda semántica y contextual), ejecutadas íntegramente dentro de la infraestructura de la entidad, sin salida a internet y sin que el contenido de las audiencias sea enviado a servicios de terceros. La funcionalidad debe estar integrada de forma nativa en la plataforma</w:t>
      </w:r>
    </w:p>
    <w:p w14:paraId="361C2DAA" w14:textId="77777777" w:rsidR="00BE6367" w:rsidRDefault="00BE6367">
      <w:pPr>
        <w:jc w:val="both"/>
        <w:rPr>
          <w:rFonts w:ascii="Arial" w:eastAsia="Arial" w:hAnsi="Arial" w:cs="Arial"/>
          <w:sz w:val="20"/>
          <w:szCs w:val="20"/>
        </w:rPr>
      </w:pPr>
    </w:p>
    <w:p w14:paraId="7210925F"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30:</w:t>
      </w:r>
    </w:p>
    <w:p w14:paraId="00CC2886" w14:textId="77777777" w:rsidR="00BE6367" w:rsidRDefault="00C90F6A">
      <w:pPr>
        <w:jc w:val="both"/>
        <w:rPr>
          <w:rFonts w:ascii="Arial" w:eastAsia="Arial" w:hAnsi="Arial" w:cs="Arial"/>
          <w:sz w:val="20"/>
          <w:szCs w:val="20"/>
        </w:rPr>
      </w:pPr>
      <w:r>
        <w:rPr>
          <w:rFonts w:ascii="Arial" w:eastAsia="Arial" w:hAnsi="Arial" w:cs="Arial"/>
          <w:sz w:val="20"/>
          <w:szCs w:val="20"/>
        </w:rPr>
        <w:t>La aplicación de firmas digitales con certificado al estar integrada con la solución de grabación de audiencia, debe tener salida a internet. A nivel de seguridad existe alguna condición o información que debamos tener como proveedores?</w:t>
      </w:r>
    </w:p>
    <w:p w14:paraId="333B4046"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LA OBSERVACIÓN:</w:t>
      </w:r>
      <w:r>
        <w:rPr>
          <w:rFonts w:ascii="Arial" w:eastAsia="Arial" w:hAnsi="Arial" w:cs="Arial"/>
          <w:sz w:val="20"/>
          <w:szCs w:val="20"/>
        </w:rPr>
        <w:t xml:space="preserve"> No se requiere condiciones de seguridad especiales más allá de las políticas de la entidad, únicamente el proceso de firma se ejecuta localmente dentro de la infraestructura de la entidad; la única comunicación externa que puede requerirse es la validación del certificado y el estampado cronológico (TSA) contra la entidad certificadora. </w:t>
      </w:r>
    </w:p>
    <w:p w14:paraId="031D7BA0" w14:textId="77777777" w:rsidR="00BE6367" w:rsidRDefault="00BE6367">
      <w:pPr>
        <w:jc w:val="both"/>
        <w:rPr>
          <w:rFonts w:ascii="Arial" w:eastAsia="Arial" w:hAnsi="Arial" w:cs="Arial"/>
          <w:sz w:val="20"/>
          <w:szCs w:val="20"/>
        </w:rPr>
      </w:pPr>
    </w:p>
    <w:p w14:paraId="1D1C5EF7"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31:</w:t>
      </w:r>
    </w:p>
    <w:p w14:paraId="6473DD8B" w14:textId="77777777" w:rsidR="00BE6367" w:rsidRDefault="00C90F6A">
      <w:pPr>
        <w:jc w:val="both"/>
        <w:rPr>
          <w:rFonts w:ascii="Arial" w:eastAsia="Arial" w:hAnsi="Arial" w:cs="Arial"/>
          <w:sz w:val="20"/>
          <w:szCs w:val="20"/>
        </w:rPr>
      </w:pPr>
      <w:r>
        <w:rPr>
          <w:rFonts w:ascii="Arial" w:eastAsia="Arial" w:hAnsi="Arial" w:cs="Arial"/>
          <w:sz w:val="20"/>
          <w:szCs w:val="20"/>
        </w:rPr>
        <w:t>Por favor indicarnos a que hace referencia con "Configuración de parámetros de calidad con ajuste dinámico al ancho de banda disponible y manejo de latencia" si esta funcionalidad debe ser independiente del canal de internet que esté siendo suministrado para el cliente</w:t>
      </w:r>
    </w:p>
    <w:p w14:paraId="4C071259"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LA OBSERVACIÓN:</w:t>
      </w:r>
      <w:r>
        <w:rPr>
          <w:rFonts w:ascii="Arial" w:eastAsia="Arial" w:hAnsi="Arial" w:cs="Arial"/>
          <w:sz w:val="20"/>
          <w:szCs w:val="20"/>
        </w:rPr>
        <w:t xml:space="preserve"> </w:t>
      </w:r>
    </w:p>
    <w:p w14:paraId="4657B141" w14:textId="77777777" w:rsidR="00BE6367" w:rsidRDefault="00C90F6A">
      <w:pPr>
        <w:jc w:val="both"/>
        <w:rPr>
          <w:rFonts w:ascii="Arial" w:eastAsia="Arial" w:hAnsi="Arial" w:cs="Arial"/>
          <w:sz w:val="20"/>
          <w:szCs w:val="20"/>
        </w:rPr>
      </w:pPr>
      <w:r>
        <w:rPr>
          <w:rFonts w:ascii="Arial" w:eastAsia="Arial" w:hAnsi="Arial" w:cs="Arial"/>
          <w:sz w:val="20"/>
          <w:szCs w:val="20"/>
        </w:rPr>
        <w:t>La expresión "configuración de parámetros de calidad con ajuste dinámico al ancho de banda disponible y manejo de latencia" hace referencia a que la solución deberá adaptar automáticamente el bitrate y la resolución de la transmisión y grabación, en tiempo real, en función del ancho de banda disponible en cada momento, con el fin de evitar cortes, degradación abrupta o pérdida de sincronía audiovisual ante fluctuaciones de la red.</w:t>
      </w:r>
    </w:p>
    <w:p w14:paraId="2D37EB0C"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Esta es una funcionalidad propia del software, independiente del canal de internet que suministre la Entidad, y deberá operar sobre cualquier tipo de enlace. No obstante, la Entidad precisa que el desempeño efectivo de esta funcionalidad (calidad de imagen y audio resultante) dependerá del ancho de banda mínimo garantizado por sala. En caso de que, durante la ejecución del contrato, se evidencie que el ancho de banda real disponible en alguna sala es inferior al mínimo garantizado por la Entidad, el eventual ajuste en la calidad de la transmisión derivado de dicha limitación no será atribuible al contratista.</w:t>
      </w:r>
    </w:p>
    <w:p w14:paraId="5540FC6E"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32:</w:t>
      </w:r>
    </w:p>
    <w:p w14:paraId="3920F655" w14:textId="77777777" w:rsidR="00BE6367" w:rsidRDefault="00C90F6A">
      <w:pPr>
        <w:jc w:val="both"/>
        <w:rPr>
          <w:rFonts w:ascii="Arial" w:eastAsia="Arial" w:hAnsi="Arial" w:cs="Arial"/>
          <w:sz w:val="20"/>
          <w:szCs w:val="20"/>
        </w:rPr>
      </w:pPr>
      <w:r>
        <w:rPr>
          <w:rFonts w:ascii="Arial" w:eastAsia="Arial" w:hAnsi="Arial" w:cs="Arial"/>
          <w:sz w:val="20"/>
          <w:szCs w:val="20"/>
        </w:rPr>
        <w:t>Por favor indicarnos cuáles son las plataformas de gestión documental y sistemas información institucional que tiene la entidad con las que se debe integrar la plataforma de grabación de audiencias.</w:t>
      </w:r>
    </w:p>
    <w:p w14:paraId="4096E3B6"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LA OBSERVACIÓN</w:t>
      </w:r>
      <w:r>
        <w:rPr>
          <w:rFonts w:ascii="Arial" w:eastAsia="Arial" w:hAnsi="Arial" w:cs="Arial"/>
          <w:sz w:val="20"/>
          <w:szCs w:val="20"/>
        </w:rPr>
        <w:t xml:space="preserve">: </w:t>
      </w:r>
    </w:p>
    <w:p w14:paraId="77AA85DF" w14:textId="77777777" w:rsidR="00BE6367" w:rsidRDefault="00C90F6A">
      <w:pPr>
        <w:jc w:val="both"/>
        <w:rPr>
          <w:rFonts w:ascii="Arial" w:eastAsia="Arial" w:hAnsi="Arial" w:cs="Arial"/>
          <w:sz w:val="20"/>
          <w:szCs w:val="20"/>
        </w:rPr>
      </w:pPr>
      <w:r>
        <w:rPr>
          <w:rFonts w:ascii="Arial" w:eastAsia="Arial" w:hAnsi="Arial" w:cs="Arial"/>
          <w:sz w:val="20"/>
          <w:szCs w:val="20"/>
        </w:rPr>
        <w:t>La plataforma de gestión documental que maneja la Entidad es DOKUS,el Sistema de Información Misional (SIM), el Directorio Activo y la Sede Electrónica de la Procuraduría General de la Nación.</w:t>
      </w:r>
    </w:p>
    <w:p w14:paraId="63DEA429"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Dicha integración deberá realizarse dentro de los alcances técnicos definidos en la ficha técnica del presente proceso, y en la medida en que las capacidades de interoperabilidad de cada uno de los sistemas institucionales mencionados lo permitan (disponibilidad de API, webservices u otros mecanismos de integración habilitados por la Entidad). El detalle técnico específico de cada integración (protocolos, formatos de intercambio de información, y demás condiciones de conectividad) será validado y precisado con el contratista adjudicatario durante la etapa de implementación del contrato.</w:t>
      </w:r>
    </w:p>
    <w:p w14:paraId="6F4CA550"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33:</w:t>
      </w:r>
    </w:p>
    <w:p w14:paraId="6A6EE7E5"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Para el servicio de transcripción automática agradecemos nos confirmen si se deben transcribir el 100% de las grabaciones realizadas? en caso de ser afirmativa la respuesta por favor indicar el número de horas de grabaciones realizadas promedio mes.</w:t>
      </w:r>
    </w:p>
    <w:p w14:paraId="3BC32385"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LA OBSERVACIÓN</w:t>
      </w:r>
      <w:r>
        <w:rPr>
          <w:rFonts w:ascii="Arial" w:eastAsia="Arial" w:hAnsi="Arial" w:cs="Arial"/>
          <w:sz w:val="20"/>
          <w:szCs w:val="20"/>
        </w:rPr>
        <w:t>:</w:t>
      </w:r>
    </w:p>
    <w:p w14:paraId="48366B4D" w14:textId="77777777" w:rsidR="00BE6367" w:rsidRDefault="00C90F6A">
      <w:pPr>
        <w:jc w:val="both"/>
        <w:rPr>
          <w:rFonts w:ascii="Arial" w:eastAsia="Arial" w:hAnsi="Arial" w:cs="Arial"/>
          <w:sz w:val="20"/>
          <w:szCs w:val="20"/>
        </w:rPr>
      </w:pPr>
      <w:r>
        <w:rPr>
          <w:rFonts w:ascii="Arial" w:eastAsia="Arial" w:hAnsi="Arial" w:cs="Arial"/>
          <w:sz w:val="20"/>
          <w:szCs w:val="20"/>
        </w:rPr>
        <w:t>Se confirma que deberá transcribirse el 100% de las grabaciones realizadas. Para efectos de diseño y dimensionamiento de la solución, la Entidad estima un volumen aproximado de hasta ciento ochenta (180) horas de grabación al mes por sala. Esta cifra corresponde a un estimado de diseño para que el proponente dimensione adecuadamente la capacidad de procesamiento, almacenamiento y licenciamiento del servicio de transcripción automática, sin que constituya un compromiso de volumen fijo, mínimo o garantizado por parte de la Entidad, el cual podrá variar durante la ejecución del contrato en función de la demanda real de audiencias y sesiones grabadas.</w:t>
      </w:r>
    </w:p>
    <w:p w14:paraId="6ABF3579"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34:</w:t>
      </w:r>
    </w:p>
    <w:p w14:paraId="44734E41" w14:textId="77777777" w:rsidR="00BE6367" w:rsidRDefault="00C90F6A">
      <w:pPr>
        <w:jc w:val="both"/>
        <w:rPr>
          <w:rFonts w:ascii="Arial" w:eastAsia="Arial" w:hAnsi="Arial" w:cs="Arial"/>
          <w:sz w:val="20"/>
          <w:szCs w:val="20"/>
        </w:rPr>
      </w:pPr>
      <w:r>
        <w:rPr>
          <w:rFonts w:ascii="Arial" w:eastAsia="Arial" w:hAnsi="Arial" w:cs="Arial"/>
          <w:sz w:val="20"/>
          <w:szCs w:val="20"/>
        </w:rPr>
        <w:t>Por favor indicarnos qué tipo de formatos de audio y video se requiere la  transmisión y grabación de las audiencias</w:t>
      </w:r>
    </w:p>
    <w:p w14:paraId="168DF1A7"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LA OBSERVACIÓN:</w:t>
      </w:r>
      <w:r>
        <w:rPr>
          <w:rFonts w:ascii="Arial" w:eastAsia="Arial" w:hAnsi="Arial" w:cs="Arial"/>
          <w:sz w:val="20"/>
          <w:szCs w:val="20"/>
        </w:rPr>
        <w:t xml:space="preserve"> La grabación y transmisión de las audiencias deberá realizarse en formato de video H.264, bajo contenedor MP4, con resolución de hasta 1080p, y audio en formato AAC. Para efectos del servicio de transcripción automática, deberá generarse una extracción del audio en formato WAV/PCM a 16 kHz. Estos formatos corresponden a estándares ampliamente interoperables y adecuados para el archivo, custodia y reproducción de este tipo de material audiovisual. </w:t>
      </w:r>
    </w:p>
    <w:p w14:paraId="5E7C4592"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35:</w:t>
      </w:r>
    </w:p>
    <w:p w14:paraId="6085CAD4" w14:textId="77777777" w:rsidR="00BE6367" w:rsidRDefault="00C90F6A">
      <w:pPr>
        <w:jc w:val="both"/>
        <w:rPr>
          <w:rFonts w:ascii="Arial" w:eastAsia="Arial" w:hAnsi="Arial" w:cs="Arial"/>
          <w:sz w:val="20"/>
          <w:szCs w:val="20"/>
        </w:rPr>
      </w:pPr>
      <w:r>
        <w:rPr>
          <w:rFonts w:ascii="Arial" w:eastAsia="Arial" w:hAnsi="Arial" w:cs="Arial"/>
          <w:sz w:val="20"/>
          <w:szCs w:val="20"/>
        </w:rPr>
        <w:t>Por favor aclararnos y detallar a que hace referencia con operación cien por ciento (100%) basada en navegador web autorizado, sin requerir instalación de clientes nativos en las estaciones de trabajo de usuarios funcionales, teniendo en cuenta que existe otro punto del documento donde se solicita que el despliegue se haga en modalidad on-premise.</w:t>
      </w:r>
    </w:p>
    <w:p w14:paraId="07C30A39"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LA OBSERVACIÓN</w:t>
      </w:r>
      <w:r>
        <w:rPr>
          <w:rFonts w:ascii="Arial" w:eastAsia="Arial" w:hAnsi="Arial" w:cs="Arial"/>
          <w:sz w:val="20"/>
          <w:szCs w:val="20"/>
        </w:rPr>
        <w:t xml:space="preserve">: </w:t>
      </w:r>
    </w:p>
    <w:p w14:paraId="606BF310" w14:textId="77777777" w:rsidR="00BE6367" w:rsidRDefault="00C90F6A">
      <w:pPr>
        <w:jc w:val="both"/>
        <w:rPr>
          <w:rFonts w:ascii="Arial" w:eastAsia="Arial" w:hAnsi="Arial" w:cs="Arial"/>
          <w:sz w:val="20"/>
          <w:szCs w:val="20"/>
        </w:rPr>
      </w:pPr>
      <w:r>
        <w:rPr>
          <w:rFonts w:ascii="Arial" w:eastAsia="Arial" w:hAnsi="Arial" w:cs="Arial"/>
          <w:sz w:val="20"/>
          <w:szCs w:val="20"/>
        </w:rPr>
        <w:t>No existe contradicción entre ambos requisitos, por cuanto corresponden a dos capas distintas y complementarias de la arquitectura de la solución. La modalidad on-premise describe la ubicación de los servidores y la infraestructura de procesamiento y almacenamiento, los cuales residirán dentro de la infraestructura de la Entidad, garantizando que los datos no salgan de su control. Por su parte, la operación basada en navegador web describe el mecanismo de acceso de los usuarios funcionales, quienes ingresarán a la aplicación mediante un navegador web autorizado (por ejemplo, Chrome o Edge, en sus versiones vigentes soportadas por el fabricante), sin necesidad de instalar clientes nativos o software adicional en cada estación de trabajo.</w:t>
      </w:r>
    </w:p>
    <w:p w14:paraId="28589C28"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arquitectura corresponde a un servidor instalado on-premise, con acceso de los usuarios funcionales vía navegador dentro de la red interna de la Entidad, siendo ambos requisitos plenamente compatibles entre sí.</w:t>
      </w:r>
    </w:p>
    <w:p w14:paraId="6A6B8139" w14:textId="77777777" w:rsidR="00BE6367" w:rsidRDefault="00BE6367">
      <w:pPr>
        <w:jc w:val="both"/>
        <w:rPr>
          <w:rFonts w:ascii="Arial" w:eastAsia="Arial" w:hAnsi="Arial" w:cs="Arial"/>
          <w:sz w:val="20"/>
          <w:szCs w:val="20"/>
        </w:rPr>
      </w:pPr>
    </w:p>
    <w:p w14:paraId="3949479E"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36:</w:t>
      </w:r>
    </w:p>
    <w:p w14:paraId="4B4D3F0E" w14:textId="77777777" w:rsidR="00BE6367" w:rsidRDefault="00C90F6A">
      <w:pPr>
        <w:jc w:val="both"/>
        <w:rPr>
          <w:rFonts w:ascii="Arial" w:eastAsia="Arial" w:hAnsi="Arial" w:cs="Arial"/>
          <w:sz w:val="20"/>
          <w:szCs w:val="20"/>
        </w:rPr>
      </w:pPr>
      <w:r>
        <w:rPr>
          <w:rFonts w:ascii="Arial" w:eastAsia="Arial" w:hAnsi="Arial" w:cs="Arial"/>
          <w:sz w:val="20"/>
          <w:szCs w:val="20"/>
        </w:rPr>
        <w:t>¿Por favor, confirmar si la solución de grabación de audiencias debe ser con grabación local y repositorio centralizado? o por favor confirmar cómo tiene pensado la entidad manejar la arquitectura</w:t>
      </w:r>
    </w:p>
    <w:p w14:paraId="6D78E0F0" w14:textId="77777777" w:rsidR="00BE6367" w:rsidRDefault="00C90F6A">
      <w:pPr>
        <w:jc w:val="both"/>
        <w:rPr>
          <w:rFonts w:ascii="Arial" w:eastAsia="Arial" w:hAnsi="Arial" w:cs="Arial"/>
          <w:sz w:val="20"/>
          <w:szCs w:val="20"/>
        </w:rPr>
      </w:pPr>
      <w:r>
        <w:rPr>
          <w:rFonts w:ascii="Arial" w:eastAsia="Arial" w:hAnsi="Arial" w:cs="Arial"/>
          <w:b/>
          <w:bCs/>
          <w:sz w:val="20"/>
          <w:szCs w:val="20"/>
        </w:rPr>
        <w:lastRenderedPageBreak/>
        <w:t>RESPUESTA A LA OBSERVACIÓN:</w:t>
      </w:r>
      <w:r>
        <w:rPr>
          <w:rFonts w:ascii="Arial" w:eastAsia="Arial" w:hAnsi="Arial" w:cs="Arial"/>
          <w:sz w:val="20"/>
          <w:szCs w:val="20"/>
        </w:rPr>
        <w:t xml:space="preserve"> </w:t>
      </w:r>
    </w:p>
    <w:p w14:paraId="515A43C2" w14:textId="77777777" w:rsidR="00BE6367" w:rsidRDefault="00C90F6A">
      <w:pPr>
        <w:jc w:val="both"/>
        <w:rPr>
          <w:rFonts w:ascii="Arial" w:eastAsia="Arial" w:hAnsi="Arial" w:cs="Arial"/>
          <w:sz w:val="20"/>
          <w:szCs w:val="20"/>
        </w:rPr>
      </w:pPr>
      <w:r>
        <w:rPr>
          <w:rFonts w:ascii="Arial" w:eastAsia="Arial" w:hAnsi="Arial" w:cs="Arial"/>
          <w:sz w:val="20"/>
          <w:szCs w:val="20"/>
        </w:rPr>
        <w:t>Se requiere una arquitectura híbrida de grabación, consistente en captura local en cada sala, con consolidación posterior en un repositorio centralizado on-premise. Cada audiencia se captura de manera local, garantizando resiliencia ante eventuales caídas de conectividad de red durante su desarrollo, y posteriormente se sincroniza automáticamente con el repositorio central, una vez restablecida la conexión, sin pérdida de la grabación.</w:t>
      </w:r>
    </w:p>
    <w:p w14:paraId="0EE64AF6"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caso de que una grabación permanezca pendiente de sincronización con el repositorio central por un período prolongado, la solución deberá contar con un mecanismo de alerta o notificación al administrador del sistema, a fin de garantizar el adecuado seguimiento y control de la totalidad de las grabaciones realizadas.</w:t>
      </w:r>
    </w:p>
    <w:p w14:paraId="33D67EE8" w14:textId="77777777" w:rsidR="00BE6367" w:rsidRDefault="00BE6367">
      <w:pPr>
        <w:jc w:val="both"/>
        <w:rPr>
          <w:rFonts w:ascii="Arial" w:eastAsia="Arial" w:hAnsi="Arial" w:cs="Arial"/>
          <w:b/>
          <w:bCs/>
          <w:sz w:val="20"/>
          <w:szCs w:val="20"/>
        </w:rPr>
      </w:pPr>
    </w:p>
    <w:p w14:paraId="46CF6552" w14:textId="77777777" w:rsidR="00BE6367" w:rsidRDefault="00BE6367">
      <w:pPr>
        <w:jc w:val="both"/>
        <w:rPr>
          <w:rFonts w:ascii="Arial" w:eastAsia="Arial" w:hAnsi="Arial" w:cs="Arial"/>
          <w:sz w:val="20"/>
          <w:szCs w:val="20"/>
        </w:rPr>
      </w:pPr>
    </w:p>
    <w:p w14:paraId="1D6EC8DE" w14:textId="77777777" w:rsidR="00BE6367" w:rsidRDefault="00BE6367">
      <w:pPr>
        <w:jc w:val="both"/>
        <w:rPr>
          <w:rFonts w:ascii="Arial" w:eastAsia="Arial" w:hAnsi="Arial" w:cs="Arial"/>
          <w:sz w:val="20"/>
          <w:szCs w:val="20"/>
        </w:rPr>
      </w:pPr>
    </w:p>
    <w:p w14:paraId="3E1CAA77"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OBSERVACIONES A LA FTN</w:t>
      </w:r>
    </w:p>
    <w:p w14:paraId="6CC46B73" w14:textId="77777777" w:rsidR="00BE6367" w:rsidRDefault="00BE6367">
      <w:pPr>
        <w:jc w:val="both"/>
        <w:rPr>
          <w:rFonts w:ascii="Arial" w:eastAsia="Arial" w:hAnsi="Arial" w:cs="Arial"/>
          <w:b/>
          <w:bCs/>
          <w:sz w:val="20"/>
          <w:szCs w:val="20"/>
        </w:rPr>
      </w:pPr>
    </w:p>
    <w:p w14:paraId="465AFAE9" w14:textId="77777777" w:rsidR="00BE6367" w:rsidRDefault="00C90F6A">
      <w:pPr>
        <w:jc w:val="both"/>
        <w:rPr>
          <w:rFonts w:ascii="Arial" w:eastAsia="Arial" w:hAnsi="Arial" w:cs="Arial"/>
          <w:sz w:val="20"/>
          <w:szCs w:val="20"/>
        </w:rPr>
      </w:pPr>
      <w:r>
        <w:rPr>
          <w:rFonts w:ascii="Arial" w:eastAsia="Arial" w:hAnsi="Arial" w:cs="Arial"/>
          <w:sz w:val="20"/>
          <w:szCs w:val="20"/>
        </w:rPr>
        <w:t>Por medio del presente enviamos las siguientes observaciones de las especificaciones de la FTN:</w:t>
      </w:r>
    </w:p>
    <w:p w14:paraId="2B589849" w14:textId="77777777" w:rsidR="00BE6367" w:rsidRDefault="00C90F6A">
      <w:pPr>
        <w:jc w:val="both"/>
        <w:rPr>
          <w:rFonts w:ascii="Arial" w:eastAsia="Arial" w:hAnsi="Arial" w:cs="Arial"/>
          <w:sz w:val="20"/>
          <w:szCs w:val="20"/>
        </w:rPr>
      </w:pPr>
      <w:r>
        <w:rPr>
          <w:rFonts w:ascii="Arial" w:eastAsia="Arial" w:hAnsi="Arial" w:cs="Arial"/>
          <w:b/>
          <w:bCs/>
          <w:sz w:val="20"/>
          <w:szCs w:val="20"/>
        </w:rPr>
        <w:t>Observación 37-</w:t>
      </w:r>
      <w:r>
        <w:rPr>
          <w:rFonts w:ascii="Arial" w:eastAsia="Arial" w:hAnsi="Arial" w:cs="Arial"/>
          <w:sz w:val="20"/>
          <w:szCs w:val="20"/>
        </w:rPr>
        <w:t xml:space="preserve"> MODALIDAD DE EXPERIENCIA A TRAVES DE CERTIFICACIONES</w:t>
      </w:r>
    </w:p>
    <w:p w14:paraId="00D6E19E" w14:textId="77777777" w:rsidR="00BE6367" w:rsidRDefault="00C90F6A">
      <w:pPr>
        <w:jc w:val="both"/>
        <w:rPr>
          <w:rFonts w:ascii="Arial" w:eastAsia="Arial" w:hAnsi="Arial" w:cs="Arial"/>
          <w:sz w:val="20"/>
          <w:szCs w:val="20"/>
        </w:rPr>
      </w:pPr>
      <w:r>
        <w:rPr>
          <w:rFonts w:ascii="Arial" w:eastAsia="Arial" w:hAnsi="Arial" w:cs="Arial"/>
          <w:sz w:val="20"/>
          <w:szCs w:val="20"/>
        </w:rPr>
        <w:t>En relación al requerimiento de experieEXPERIENCIAncia  solicitada en el numeral “MODALIDAD DE  A TRAVES DE CERTIFICACIONES”:</w:t>
      </w:r>
    </w:p>
    <w:p w14:paraId="4E9A2D9C" w14:textId="77777777" w:rsidR="00BE6367" w:rsidRDefault="00C90F6A">
      <w:pPr>
        <w:jc w:val="both"/>
        <w:rPr>
          <w:rFonts w:ascii="Arial" w:eastAsia="Arial" w:hAnsi="Arial" w:cs="Arial"/>
          <w:sz w:val="20"/>
          <w:szCs w:val="20"/>
        </w:rPr>
      </w:pPr>
      <w:r>
        <w:rPr>
          <w:rFonts w:ascii="Arial" w:eastAsia="Arial" w:hAnsi="Arial" w:cs="Arial"/>
          <w:b/>
          <w:bCs/>
          <w:sz w:val="20"/>
          <w:szCs w:val="20"/>
        </w:rPr>
        <w:t>Texto del requisito:</w:t>
      </w:r>
    </w:p>
    <w:p w14:paraId="0BD490E5" w14:textId="77777777" w:rsidR="00BE6367" w:rsidRDefault="00C90F6A">
      <w:pPr>
        <w:jc w:val="both"/>
        <w:rPr>
          <w:rFonts w:ascii="Arial" w:eastAsia="Arial" w:hAnsi="Arial" w:cs="Arial"/>
          <w:sz w:val="20"/>
          <w:szCs w:val="20"/>
        </w:rPr>
      </w:pPr>
      <w:r>
        <w:rPr>
          <w:rFonts w:ascii="Arial" w:eastAsia="Arial" w:hAnsi="Arial" w:cs="Arial"/>
          <w:i/>
          <w:iCs/>
          <w:sz w:val="20"/>
          <w:szCs w:val="20"/>
        </w:rPr>
        <w:t>"Presentar contratos/certificaciones finalizados a la fecha de presentación de los documentos en el cual certifique que ha realizado al menos una implementación en los últimos cinco (5) años de plataformas de software de gestión de audiencias o sesiones en entidades públicas, judiciales, legislativas o corporativas."</w:t>
      </w:r>
    </w:p>
    <w:p w14:paraId="74C74A40" w14:textId="77777777" w:rsidR="00BE6367" w:rsidRDefault="00C90F6A">
      <w:pPr>
        <w:jc w:val="both"/>
        <w:rPr>
          <w:rFonts w:ascii="Arial" w:eastAsia="Arial" w:hAnsi="Arial" w:cs="Arial"/>
          <w:sz w:val="20"/>
          <w:szCs w:val="20"/>
        </w:rPr>
      </w:pPr>
      <w:r>
        <w:rPr>
          <w:rFonts w:ascii="Arial" w:eastAsia="Arial" w:hAnsi="Arial" w:cs="Arial"/>
          <w:b/>
          <w:bCs/>
          <w:sz w:val="20"/>
          <w:szCs w:val="20"/>
        </w:rPr>
        <w:t>Observación:</w:t>
      </w:r>
      <w:r>
        <w:rPr>
          <w:rFonts w:ascii="Arial" w:eastAsia="Arial" w:hAnsi="Arial" w:cs="Arial"/>
          <w:sz w:val="20"/>
          <w:szCs w:val="20"/>
        </w:rPr>
        <w:t xml:space="preserve"> </w:t>
      </w:r>
    </w:p>
    <w:p w14:paraId="1C7867C6" w14:textId="77777777" w:rsidR="00BE6367" w:rsidRDefault="00C90F6A">
      <w:pPr>
        <w:jc w:val="both"/>
        <w:rPr>
          <w:rFonts w:ascii="Arial" w:eastAsia="Arial" w:hAnsi="Arial" w:cs="Arial"/>
          <w:sz w:val="20"/>
          <w:szCs w:val="20"/>
        </w:rPr>
      </w:pPr>
      <w:r>
        <w:rPr>
          <w:rFonts w:ascii="Arial" w:eastAsia="Arial" w:hAnsi="Arial" w:cs="Arial"/>
          <w:sz w:val="20"/>
          <w:szCs w:val="20"/>
        </w:rPr>
        <w:t>De manera respetuosa solicitamos a la Entidad considerar la posibilidad de ampliar el criterio de acreditación de este requisito, de tal forma que se acepte experiencia en la implementación de plataformas de software en general, y no exclusivamente en soluciones de gestión de audiencias o sesiones.</w:t>
      </w:r>
    </w:p>
    <w:p w14:paraId="5231C768" w14:textId="77777777" w:rsidR="00BE6367" w:rsidRDefault="00C90F6A">
      <w:pPr>
        <w:jc w:val="both"/>
        <w:rPr>
          <w:rFonts w:ascii="Arial" w:eastAsia="Arial" w:hAnsi="Arial" w:cs="Arial"/>
          <w:sz w:val="20"/>
          <w:szCs w:val="20"/>
        </w:rPr>
      </w:pPr>
      <w:r>
        <w:rPr>
          <w:rFonts w:ascii="Arial" w:eastAsia="Arial" w:hAnsi="Arial" w:cs="Arial"/>
          <w:sz w:val="20"/>
          <w:szCs w:val="20"/>
        </w:rPr>
        <w:t>Lo anterior, teniendo en cuenta que existen en el mercado múltiples integradores tecnológicos con amplia trayectoria en la implementación de soluciones de software en entidades públicas, judiciales, legislativas o corporativas, cuya experiencia podría ser igualmente válida para garantizar la idoneidad técnica requerida por la Entidad, sin necesidad de circunscribirla a un tipo de solución en particular.</w:t>
      </w:r>
    </w:p>
    <w:p w14:paraId="5ABBCEA0" w14:textId="77777777" w:rsidR="00BE6367" w:rsidRDefault="00C90F6A">
      <w:pPr>
        <w:jc w:val="both"/>
        <w:rPr>
          <w:rFonts w:ascii="Arial" w:eastAsia="Arial" w:hAnsi="Arial" w:cs="Arial"/>
          <w:sz w:val="20"/>
          <w:szCs w:val="20"/>
        </w:rPr>
      </w:pPr>
      <w:r>
        <w:rPr>
          <w:rFonts w:ascii="Arial" w:eastAsia="Arial" w:hAnsi="Arial" w:cs="Arial"/>
          <w:b/>
          <w:bCs/>
          <w:sz w:val="20"/>
          <w:szCs w:val="20"/>
        </w:rPr>
        <w:t>Petición:</w:t>
      </w:r>
    </w:p>
    <w:p w14:paraId="71F2B4E7" w14:textId="77777777" w:rsidR="00BE6367" w:rsidRDefault="00C90F6A">
      <w:pPr>
        <w:jc w:val="both"/>
        <w:rPr>
          <w:rFonts w:ascii="Arial" w:eastAsia="Arial" w:hAnsi="Arial" w:cs="Arial"/>
          <w:sz w:val="20"/>
          <w:szCs w:val="20"/>
        </w:rPr>
      </w:pPr>
      <w:r>
        <w:rPr>
          <w:rFonts w:ascii="Arial" w:eastAsia="Arial" w:hAnsi="Arial" w:cs="Arial"/>
          <w:sz w:val="20"/>
          <w:szCs w:val="20"/>
        </w:rPr>
        <w:t>Solicitamos respetuosamente a la Entidad modificar el requisito de la siguiente manera:</w:t>
      </w:r>
    </w:p>
    <w:p w14:paraId="0712E786" w14:textId="77777777" w:rsidR="00BE6367" w:rsidRDefault="00C90F6A">
      <w:pPr>
        <w:jc w:val="both"/>
        <w:rPr>
          <w:rFonts w:ascii="Arial" w:eastAsia="Arial" w:hAnsi="Arial" w:cs="Arial"/>
          <w:sz w:val="20"/>
          <w:szCs w:val="20"/>
        </w:rPr>
      </w:pPr>
      <w:r>
        <w:rPr>
          <w:rFonts w:ascii="Arial" w:eastAsia="Arial" w:hAnsi="Arial" w:cs="Arial"/>
          <w:i/>
          <w:iCs/>
          <w:sz w:val="20"/>
          <w:szCs w:val="20"/>
        </w:rPr>
        <w:t>"Presentar contratos/certificaciones finalizados a la fecha de presentación de los documentos en el cual certifique que ha realizado al menos una implementación en los últimos cinco (5) años de plataformas de software en entidades públicas, judiciales, legislativas o corporativas."</w:t>
      </w:r>
    </w:p>
    <w:p w14:paraId="7B48BED7"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LA OBSERVACIÓN:</w:t>
      </w:r>
      <w:r>
        <w:rPr>
          <w:rFonts w:ascii="Arial" w:eastAsia="Arial" w:hAnsi="Arial" w:cs="Arial"/>
          <w:sz w:val="20"/>
          <w:szCs w:val="20"/>
        </w:rPr>
        <w:t xml:space="preserve"> </w:t>
      </w:r>
    </w:p>
    <w:p w14:paraId="30CE4308"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Se acepta parcialmente la observación. La Entidad precisa que el objeto del software exigido en el presente proceso corresponde específicamente a una plataforma de gestión de audiencias o de gestión de sesiones, orientada a la organización, registro y seguimiento de las audiencias o sesiones que se surten dentro de procesos disciplinarios, preventivos, administrativos o de similar naturaleza, la cual involucra particularidades funcionales y procedimentales propias de este tipo de trámites (control de términos, citaciones, custodia de expedientes, entre otras), que no resultan comparables con el desarrollo o implementación de software en un sentido genérico.</w:t>
      </w:r>
    </w:p>
    <w:p w14:paraId="73EE465F"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aplicación del deber de planeación (art. 25 Ley 80 de 1993) y del principio de selección objetiva (art. 5 Ley 1150 de 2007), la Entidad considera necesario que la experiencia habilitante del proponente se circunscriba a la implementación de soluciones de la misma naturaleza funcional exigida en el presente proceso, por cuanto una experiencia general en "implementación de plataformas de software", sin relación con dicha especialidad, no permitiría verificar que el comitente vendedor conoce las particularidades técnicas y normativas propias de este tipo de soluciones, ni garantizaría su idoneidad para la correcta implementación del objeto contractual.</w:t>
      </w:r>
    </w:p>
    <w:p w14:paraId="170E9AC2"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obstante, en aplicación de los principios de libre concurrencia y pluralidad de oferentes, la Entidad ajustará la redacción del requisito para reemplazar el término "plataforma de software de audiencias" por una descripción más amplia que comprenda el "software de gestión de audiencias o software de gestión de sesiones", y para ampliar el tipo de entidades donde dicha experiencia pueda haberse acreditado, incluyendo expresamente entidades privadas, además de las públicas, judiciales y legislativas ya contempladas.</w:t>
      </w:r>
    </w:p>
    <w:p w14:paraId="2653BBDA"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el requisito quedará redactado así: "Presentar contratos o certificaciones finalizados a la fecha de presentación de los documentos en el cual certifique que ha realizado al menos una implementación en los últimos cinco (5) años de software de gestión de audiencias o software de gestión de sesiones en entidades públicas, judiciales, legislativas o privadas."</w:t>
      </w:r>
    </w:p>
    <w:p w14:paraId="755A5696" w14:textId="77777777" w:rsidR="00BE6367" w:rsidRDefault="00C90F6A">
      <w:pPr>
        <w:jc w:val="both"/>
        <w:rPr>
          <w:rFonts w:ascii="Arial" w:eastAsia="Arial" w:hAnsi="Arial" w:cs="Arial"/>
          <w:sz w:val="20"/>
          <w:szCs w:val="20"/>
        </w:rPr>
      </w:pPr>
      <w:r>
        <w:rPr>
          <w:rFonts w:ascii="Arial" w:eastAsia="Arial" w:hAnsi="Arial" w:cs="Arial"/>
          <w:b/>
          <w:bCs/>
          <w:sz w:val="20"/>
          <w:szCs w:val="20"/>
        </w:rPr>
        <w:t>Observación 38-</w:t>
      </w:r>
      <w:r>
        <w:rPr>
          <w:rFonts w:ascii="Arial" w:eastAsia="Arial" w:hAnsi="Arial" w:cs="Arial"/>
          <w:sz w:val="20"/>
          <w:szCs w:val="20"/>
        </w:rPr>
        <w:t xml:space="preserve"> </w:t>
      </w:r>
      <w:r>
        <w:rPr>
          <w:rFonts w:ascii="Arial" w:eastAsia="Arial" w:hAnsi="Arial" w:cs="Arial"/>
          <w:b/>
          <w:bCs/>
          <w:sz w:val="20"/>
          <w:szCs w:val="20"/>
        </w:rPr>
        <w:t>Certificación del fabricante para personal técnico en soluciones de video profesional (ítems 34 y 35)</w:t>
      </w:r>
    </w:p>
    <w:p w14:paraId="25B8A1C5" w14:textId="77777777" w:rsidR="00BE6367" w:rsidRDefault="00C90F6A">
      <w:pPr>
        <w:jc w:val="both"/>
        <w:rPr>
          <w:rFonts w:ascii="Arial" w:eastAsia="Arial" w:hAnsi="Arial" w:cs="Arial"/>
          <w:sz w:val="20"/>
          <w:szCs w:val="20"/>
        </w:rPr>
      </w:pPr>
      <w:r>
        <w:rPr>
          <w:rFonts w:ascii="Arial" w:eastAsia="Arial" w:hAnsi="Arial" w:cs="Arial"/>
          <w:sz w:val="20"/>
          <w:szCs w:val="20"/>
        </w:rPr>
        <w:t>Texto del requisito:</w:t>
      </w:r>
    </w:p>
    <w:p w14:paraId="3722BDFC" w14:textId="77777777" w:rsidR="00BE6367" w:rsidRDefault="00C90F6A">
      <w:pPr>
        <w:jc w:val="both"/>
        <w:rPr>
          <w:rFonts w:ascii="Arial" w:eastAsia="Arial" w:hAnsi="Arial" w:cs="Arial"/>
          <w:sz w:val="20"/>
          <w:szCs w:val="20"/>
        </w:rPr>
      </w:pPr>
      <w:r>
        <w:rPr>
          <w:rFonts w:ascii="Arial" w:eastAsia="Arial" w:hAnsi="Arial" w:cs="Arial"/>
          <w:sz w:val="20"/>
          <w:szCs w:val="20"/>
        </w:rPr>
        <w:t>"Adicionalmente, para garantizar la experiencia del personal técnico en las soluciones de video profesional, el comitente vendedor deberá presentar certificación del fabricante de la solución de los ítems (34) Cámara PTZ y (35) Solución de Conmutación Multicámara que acredite a un profesional que haga parte de su empresa en:</w:t>
      </w:r>
    </w:p>
    <w:p w14:paraId="4ADF47F6"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a) Competencias en el diseño de soluciones de video inteligente. </w:t>
      </w:r>
    </w:p>
    <w:p w14:paraId="72D872EB"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b) Competencias en la ingeniería de las soluciones de video inteligente. El cumplimiento de este requisito deberá acreditarse mediante la presentación de copia de los certificados expedidos por el fabricante, en los cuales se identifique claramente el nombre del profesional, el número de certificado y la fecha de expedición. Dichas certificaciones podrán estar en cabeza de uno o varios integrantes del equipo de trabajo propuesto. </w:t>
      </w:r>
    </w:p>
    <w:p w14:paraId="74BD974E" w14:textId="77777777" w:rsidR="00BE6367" w:rsidRDefault="00C90F6A">
      <w:pPr>
        <w:jc w:val="both"/>
        <w:rPr>
          <w:rFonts w:ascii="Arial" w:eastAsia="Arial" w:hAnsi="Arial" w:cs="Arial"/>
          <w:sz w:val="20"/>
          <w:szCs w:val="20"/>
        </w:rPr>
      </w:pPr>
      <w:r>
        <w:rPr>
          <w:rFonts w:ascii="Arial" w:eastAsia="Arial" w:hAnsi="Arial" w:cs="Arial"/>
          <w:sz w:val="20"/>
          <w:szCs w:val="20"/>
        </w:rPr>
        <w:t>Adicionalmente, los profesionales acreditados deberán hacer parte de la nómina del comitente vendedor, condición que deberá demostrarse mediante los soportes correspondientes (ejemplo: certificación laboral, comprobantes de afiliación a seguridad social o documentos equivalentes), garantizando así la vinculación directa y permanente del recurso humano con la empresa."</w:t>
      </w:r>
    </w:p>
    <w:p w14:paraId="286287F2" w14:textId="77777777" w:rsidR="00BE6367" w:rsidRDefault="00C90F6A">
      <w:pPr>
        <w:jc w:val="both"/>
        <w:rPr>
          <w:rFonts w:ascii="Arial" w:eastAsia="Arial" w:hAnsi="Arial" w:cs="Arial"/>
          <w:sz w:val="20"/>
          <w:szCs w:val="20"/>
        </w:rPr>
      </w:pPr>
      <w:r>
        <w:rPr>
          <w:rFonts w:ascii="Arial" w:eastAsia="Arial" w:hAnsi="Arial" w:cs="Arial"/>
          <w:b/>
          <w:bCs/>
          <w:sz w:val="20"/>
          <w:szCs w:val="20"/>
        </w:rPr>
        <w:t>Observación:</w:t>
      </w:r>
    </w:p>
    <w:p w14:paraId="67060516"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El requisito condiciona la habilitación del comitente vendedor a un vínculo de nómina, previo y vigente, con profesionales titulares de certificaciones de disponibilidad restringida en el mercado nacional. La vinculación del equipo de trabajo es una condición propia de la ejecución del contrato y no un atributo habilitante del proponente; exigirla desde la etapa de oferta constituye una barrera de acceso contraria a los principios de libre concurrencia y selección objetiva, sin que la modalidad de vinculación incida en la calidad técnica del resultado, la cual está garantizada por la certificación del fabricante en cabeza del profesional.</w:t>
      </w:r>
    </w:p>
    <w:p w14:paraId="6CFE0358" w14:textId="77777777" w:rsidR="00BE6367" w:rsidRDefault="00C90F6A">
      <w:pPr>
        <w:jc w:val="both"/>
        <w:rPr>
          <w:rFonts w:ascii="Arial" w:eastAsia="Arial" w:hAnsi="Arial" w:cs="Arial"/>
          <w:sz w:val="20"/>
          <w:szCs w:val="20"/>
        </w:rPr>
      </w:pPr>
      <w:r>
        <w:rPr>
          <w:rFonts w:ascii="Arial" w:eastAsia="Arial" w:hAnsi="Arial" w:cs="Arial"/>
          <w:b/>
          <w:bCs/>
          <w:sz w:val="20"/>
          <w:szCs w:val="20"/>
        </w:rPr>
        <w:t>Solicitud:</w:t>
      </w:r>
    </w:p>
    <w:p w14:paraId="67D32574" w14:textId="77777777" w:rsidR="00BE6367" w:rsidRDefault="00C90F6A">
      <w:pPr>
        <w:jc w:val="both"/>
        <w:rPr>
          <w:rFonts w:ascii="Arial" w:eastAsia="Arial" w:hAnsi="Arial" w:cs="Arial"/>
          <w:sz w:val="20"/>
          <w:szCs w:val="20"/>
        </w:rPr>
      </w:pPr>
      <w:r>
        <w:rPr>
          <w:rFonts w:ascii="Arial" w:eastAsia="Arial" w:hAnsi="Arial" w:cs="Arial"/>
          <w:sz w:val="20"/>
          <w:szCs w:val="20"/>
        </w:rPr>
        <w:t>Solicitamos modificar el requisito, de manera que su cumplimiento se acredite mediante una carta de compromiso suscrita por el comitente vendedor, en la que se obligue a disponer, para la ejecución del proyecto, de personal técnico certificado por el fabricante en las competencias exigidas (diseño e ingeniería de soluciones de video inteligente) para los ítems 34 y 35.</w:t>
      </w:r>
    </w:p>
    <w:p w14:paraId="2A50AEEE" w14:textId="77777777" w:rsidR="00BE6367" w:rsidRDefault="00C90F6A">
      <w:pPr>
        <w:jc w:val="both"/>
        <w:rPr>
          <w:rFonts w:ascii="Arial" w:eastAsia="Arial" w:hAnsi="Arial" w:cs="Arial"/>
          <w:sz w:val="20"/>
          <w:szCs w:val="20"/>
        </w:rPr>
      </w:pPr>
      <w:r>
        <w:rPr>
          <w:rFonts w:ascii="Arial" w:eastAsia="Arial" w:hAnsi="Arial" w:cs="Arial"/>
          <w:sz w:val="20"/>
          <w:szCs w:val="20"/>
        </w:rPr>
        <w:t>Dicha carta deberá identificar, en la medida de lo posible, al profesional propuesto, el número de certificado y la fecha de expedición; en caso de que el profesional definitivo se precise durante la etapa de ejecución, el comitente vendedor se compromete a presentar dicha certificación antes del inicio de las actividades correspondientes a estos ítems.</w:t>
      </w:r>
    </w:p>
    <w:p w14:paraId="7453A77D" w14:textId="77777777" w:rsidR="00BE6367" w:rsidRDefault="00BE6367">
      <w:pPr>
        <w:jc w:val="both"/>
        <w:rPr>
          <w:rFonts w:ascii="Arial" w:eastAsia="Arial" w:hAnsi="Arial" w:cs="Arial"/>
          <w:sz w:val="20"/>
          <w:szCs w:val="20"/>
        </w:rPr>
      </w:pPr>
    </w:p>
    <w:p w14:paraId="484D6E1B" w14:textId="77777777" w:rsidR="00BE6367" w:rsidRDefault="00C90F6A">
      <w:pPr>
        <w:jc w:val="both"/>
        <w:rPr>
          <w:rFonts w:ascii="Arial" w:eastAsia="Arial" w:hAnsi="Arial" w:cs="Arial"/>
          <w:sz w:val="20"/>
          <w:szCs w:val="20"/>
        </w:rPr>
      </w:pPr>
      <w:r>
        <w:rPr>
          <w:rFonts w:ascii="Arial" w:eastAsia="Arial" w:hAnsi="Arial" w:cs="Arial"/>
          <w:sz w:val="20"/>
          <w:szCs w:val="20"/>
        </w:rPr>
        <w:t>Con esta modificación se garantiza la idoneidad técnica exigida por la Entidad, sin imponer como requisito habilitante una modalidad específica de vinculación laboral (nómina), permitiendo así una mayor pluralidad de oferentes sin comprometer la calidad de la ejecución contractual.</w:t>
      </w:r>
    </w:p>
    <w:p w14:paraId="5D85D9D9"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LA OBSERVACIÓN:</w:t>
      </w:r>
    </w:p>
    <w:p w14:paraId="73034414"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acepta parcialmente la observación. La Entidad mantiene la exigencia de que el comitente vendedor acredite, desde la etapa de oferta, la certificación de competencia técnica expedida por el fabricante de la solución en diseño e ingeniería de soluciones de video inteligente para los ítems 34 y 35, por cuanto dicha certificación garantiza que el proponente cuenta con el profesional idóneo para la correcta configuración e integración tecnológica de estos componentes especializados.</w:t>
      </w:r>
    </w:p>
    <w:p w14:paraId="5F57A2D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obstante, en aplicación de los principios de libre concurrencia y selección objetiva (art. 5 Ley 1150 de 2007), la Entidad acoge la solicitud del observante en el sentido de que la acreditación de la vinculación laboral (nómina, afiliación a seguridad social o documento equivalente) del profesional certificado con el comitente vendedor no será exigida como documento habilitante en la etapa de presentación de la oferta, sino que deberá ser aportada por el contratista que resulte adjudicatario, posterior a la firma del acta de inicio de la ejecución del contrato, como condición para el correcto desarrollo de las actividades correspondientes a los ítems 34 y 35.</w:t>
      </w:r>
    </w:p>
    <w:p w14:paraId="400EB10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precisa que la certificación de competencia técnica, con la identificación del profesional, el número de certificado y la fecha de expedición, deberá presentarse en la etapa de evaluación de la oferta, conforme a lo ya exigido en el FTN, y que la modificación aquí adoptada se circunscribe exclusivamente a la modalidad y el momento de acreditación del vínculo laboral del profesional certificado.</w:t>
      </w:r>
    </w:p>
    <w:p w14:paraId="0EAB1A3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el FTN será ajustado para reflejar que la acreditación de vinculación laboral (nómina) del profesional certificado en diseño e ingeniería de soluciones de video inteligente será exigible al contratista adjudicatario durante la ejecución del contrato, y no como requisito habilitante en la etapa de evaluación de propuestas.</w:t>
      </w:r>
    </w:p>
    <w:p w14:paraId="551A59D2" w14:textId="77777777" w:rsidR="00BE6367" w:rsidRDefault="00C90F6A">
      <w:pPr>
        <w:jc w:val="both"/>
        <w:rPr>
          <w:rFonts w:ascii="Arial" w:eastAsia="Arial" w:hAnsi="Arial" w:cs="Arial"/>
          <w:sz w:val="20"/>
          <w:szCs w:val="20"/>
        </w:rPr>
      </w:pPr>
      <w:r>
        <w:rPr>
          <w:rFonts w:ascii="Arial" w:eastAsia="Arial" w:hAnsi="Arial" w:cs="Arial"/>
          <w:b/>
          <w:bCs/>
          <w:sz w:val="20"/>
          <w:szCs w:val="20"/>
        </w:rPr>
        <w:lastRenderedPageBreak/>
        <w:t>OBSERVACIÓN 39-OBLIGACIONES GENERALES DEL COMITENTE VENDEDOR</w:t>
      </w:r>
    </w:p>
    <w:p w14:paraId="6EF4A7F3" w14:textId="77777777" w:rsidR="00BE6367" w:rsidRDefault="00BE6367">
      <w:pPr>
        <w:jc w:val="both"/>
        <w:rPr>
          <w:rFonts w:ascii="Arial" w:eastAsia="Arial" w:hAnsi="Arial" w:cs="Arial"/>
          <w:sz w:val="20"/>
          <w:szCs w:val="20"/>
        </w:rPr>
      </w:pPr>
    </w:p>
    <w:p w14:paraId="3ADC0D3D" w14:textId="77777777" w:rsidR="00BE6367" w:rsidRDefault="00C90F6A">
      <w:pPr>
        <w:jc w:val="both"/>
        <w:rPr>
          <w:rFonts w:ascii="Arial" w:eastAsia="Arial" w:hAnsi="Arial" w:cs="Arial"/>
          <w:sz w:val="20"/>
          <w:szCs w:val="20"/>
        </w:rPr>
      </w:pPr>
      <w:r>
        <w:rPr>
          <w:rFonts w:ascii="Arial" w:eastAsia="Arial" w:hAnsi="Arial" w:cs="Arial"/>
          <w:sz w:val="20"/>
          <w:szCs w:val="20"/>
        </w:rPr>
        <w:t>Texto del requisito:</w:t>
      </w:r>
    </w:p>
    <w:p w14:paraId="26F4AFA8" w14:textId="77777777" w:rsidR="00BE6367" w:rsidRDefault="00C90F6A">
      <w:pPr>
        <w:jc w:val="both"/>
        <w:rPr>
          <w:rFonts w:ascii="Arial" w:eastAsia="Arial" w:hAnsi="Arial" w:cs="Arial"/>
          <w:sz w:val="20"/>
          <w:szCs w:val="20"/>
        </w:rPr>
      </w:pPr>
      <w:r>
        <w:rPr>
          <w:rFonts w:ascii="Arial" w:eastAsia="Arial" w:hAnsi="Arial" w:cs="Arial"/>
          <w:i/>
          <w:iCs/>
          <w:sz w:val="20"/>
          <w:szCs w:val="20"/>
        </w:rPr>
        <w:t>"Dar cumplimiento a las certificaciones exigidas en la Ficha Técnica de Producto, bienes o servicios (FTP), de los siguientes ítems: Computador de Escritorio (AIO), Computador de Escritorio (Workstation), Computador de Escritorio tipo Desktop Mini, Computador Portátil, Tableta, Monitor Táctil Interactivo, Pantalla Interactiva 136" – Tipo Panel Led Plegable, Codificador de Video, Aeronave no tripulada (DRON), Cámara Profesional, Video Cámara de Reportería, Monitor Táctil Interactivo, Cámara de Video, Codificador de Video, Video Recorder (CODEC) de video conferencia, Micrófonos, Consola de Sonido Potenciada, Conmutador de Red, Sistema de Reservación de Salas."</w:t>
      </w:r>
    </w:p>
    <w:p w14:paraId="14039959" w14:textId="77777777" w:rsidR="00BE6367" w:rsidRDefault="00C90F6A">
      <w:pPr>
        <w:jc w:val="both"/>
        <w:rPr>
          <w:rFonts w:ascii="Arial" w:eastAsia="Arial" w:hAnsi="Arial" w:cs="Arial"/>
          <w:sz w:val="20"/>
          <w:szCs w:val="20"/>
        </w:rPr>
      </w:pPr>
      <w:r>
        <w:rPr>
          <w:rFonts w:ascii="Arial" w:eastAsia="Arial" w:hAnsi="Arial" w:cs="Arial"/>
          <w:sz w:val="20"/>
          <w:szCs w:val="20"/>
        </w:rPr>
        <w:t>Observación:</w:t>
      </w:r>
    </w:p>
    <w:p w14:paraId="691EB296" w14:textId="77777777" w:rsidR="00BE6367" w:rsidRDefault="00C90F6A">
      <w:pPr>
        <w:jc w:val="both"/>
        <w:rPr>
          <w:rFonts w:ascii="Arial" w:eastAsia="Arial" w:hAnsi="Arial" w:cs="Arial"/>
          <w:sz w:val="20"/>
          <w:szCs w:val="20"/>
        </w:rPr>
      </w:pPr>
      <w:r>
        <w:rPr>
          <w:rFonts w:ascii="Arial" w:eastAsia="Arial" w:hAnsi="Arial" w:cs="Arial"/>
          <w:sz w:val="20"/>
          <w:szCs w:val="20"/>
        </w:rPr>
        <w:t>De manera respetuosa solicitamos a la Entidad aclarar el alcance y la naturaleza del requisito:</w:t>
      </w:r>
    </w:p>
    <w:p w14:paraId="59B61ABA" w14:textId="77777777" w:rsidR="00BE6367" w:rsidRDefault="00C90F6A">
      <w:pPr>
        <w:jc w:val="both"/>
        <w:rPr>
          <w:rFonts w:ascii="Arial" w:eastAsia="Arial" w:hAnsi="Arial" w:cs="Arial"/>
          <w:sz w:val="20"/>
          <w:szCs w:val="20"/>
        </w:rPr>
      </w:pPr>
      <w:r>
        <w:rPr>
          <w:rFonts w:ascii="Arial" w:eastAsia="Arial" w:hAnsi="Arial" w:cs="Arial"/>
          <w:sz w:val="20"/>
          <w:szCs w:val="20"/>
        </w:rPr>
        <w:t>Solicitamos especificar de manera clara y precisa, ítem por ítem, cuáles son las certificaciones concretas exigidas en la Ficha Técnica de Producto (normas técnicas, certificaciones de fabricante, de calidad, ambientales, energéticas, de seguridad u otras), así como el medio de acreditación válido para cada una de ellas (ficha técnica del fabricante, certificado de organismo certificador, declaración del fabricante, entre otros), de manera que exista claridad respecto a las obligaciones que deberá cumplir el adjudicatario durante la ejecución del contrato.</w:t>
      </w:r>
    </w:p>
    <w:p w14:paraId="3A2C4389"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LA OBSERVACIÓN: </w:t>
      </w:r>
    </w:p>
    <w:p w14:paraId="4F27C32C" w14:textId="77777777" w:rsidR="00BE6367" w:rsidRDefault="00C90F6A">
      <w:pPr>
        <w:jc w:val="both"/>
        <w:rPr>
          <w:rFonts w:ascii="Arial" w:eastAsia="Arial" w:hAnsi="Arial" w:cs="Arial"/>
          <w:sz w:val="20"/>
          <w:szCs w:val="20"/>
        </w:rPr>
      </w:pPr>
      <w:r>
        <w:rPr>
          <w:rFonts w:ascii="Arial" w:eastAsia="Arial" w:hAnsi="Arial" w:cs="Arial"/>
          <w:sz w:val="20"/>
          <w:szCs w:val="20"/>
        </w:rPr>
        <w:t>No se acepta la observación.</w:t>
      </w:r>
    </w:p>
    <w:p w14:paraId="4377581C"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Entidad se permite aclarar que la obligación establecida en el apartado de obligaciones generales del comitente vendedor no incorpora certificaciones nuevas ni indeterminadas. Esta disposición remite expresamente a las certificaciones, normas y estándares que ya se encuentran definidos de manera particular en la Ficha Técnica de Producto correspondiente a cada bien o servicio.</w:t>
      </w:r>
    </w:p>
    <w:p w14:paraId="547BFDF1"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Ficha Técnica de Producto desarrolla individualmente las condiciones aplicables a cada ítem e identifica, según su naturaleza, las certificaciones ambientales, energéticas, de eficiencia, calidad, seguridad, compatibilidad, fabricación, garantía o respaldo técnico que deben cumplir los productos ofertados.</w:t>
      </w:r>
    </w:p>
    <w:p w14:paraId="33C9E33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el alcance de la obligación debe determinarse mediante la lectura de la ficha técnica específica de cada producto relacionado. No existe una exigencia general y uniforme aplicable indistintamente a todos los bienes, puesto que cada certificación depende de las características y condiciones técnicas del respectivo equipo o solución.</w:t>
      </w:r>
    </w:p>
    <w:p w14:paraId="631F691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Asimismo, cuando la Ficha Técnica de Producto establece un medio específico de acreditación, el comitente vendedor deberá cumplirlo en los términos allí señalados. Así, dependiendo del requisito, el cumplimiento podrá verificarse mediante la página web oficial del producto o del programa de certificación, la ficha técnica oficial del fabricante, un certificado expedido por el fabricante, un documento emitido por el organismo certificador competente o el soporte expresamente indicado en la respectiva ficha.</w:t>
      </w:r>
    </w:p>
    <w:p w14:paraId="470F473C"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obligación observada tiene como finalidad exigir el cumplimiento integral de las condiciones técnicas ya previstas para los productos y no trasladar al comitente vendedor la carga de identificar requisitos diferentes de los publicados.</w:t>
      </w:r>
    </w:p>
    <w:p w14:paraId="302CA542"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lastRenderedPageBreak/>
        <w:t>Por lo tanto, no resulta necesario incorporar una nueva relación o cuadro de certificaciones, toda vez que estas se encuentran descritas en las fichas individuales que integran la Ficha Técnica de Producto y deben ser verificadas conforme con el contenido particular de cada una.</w:t>
      </w:r>
    </w:p>
    <w:p w14:paraId="3BCCB45C"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aclara que la Entidad no exigirá certificaciones distintas de las expresamente establecidas en la Ficha Técnica de Negociación, en la Ficha Técnica de Producto y en las modificaciones que sean publicadas dentro del proceso.</w:t>
      </w:r>
    </w:p>
    <w:p w14:paraId="37301007"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Por los anteriores motivos, no se accede a la observación y se mantiene la obligación en los términos establecidos, aclarando que las certificaciones aplicables y sus medios de acreditación deberán verificarse en la ficha técnica correspondiente a cada producto.</w:t>
      </w:r>
    </w:p>
    <w:p w14:paraId="49E3B7E1" w14:textId="77777777" w:rsidR="00BE6367" w:rsidRDefault="00BE6367">
      <w:pPr>
        <w:jc w:val="both"/>
        <w:rPr>
          <w:rFonts w:ascii="Arial" w:eastAsia="Arial" w:hAnsi="Arial" w:cs="Arial"/>
          <w:sz w:val="20"/>
          <w:szCs w:val="20"/>
        </w:rPr>
      </w:pPr>
    </w:p>
    <w:tbl>
      <w:tblPr>
        <w:tblStyle w:val="af8"/>
        <w:tblW w:w="8353" w:type="dxa"/>
        <w:tblInd w:w="0"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1570"/>
        <w:gridCol w:w="6783"/>
      </w:tblGrid>
      <w:tr w:rsidR="00BE6367" w14:paraId="5AD89F91"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40121CB0"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Sociedad C. B.:</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11E35FA3"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MERCADO Y BOLSA S.A.</w:t>
            </w:r>
          </w:p>
        </w:tc>
      </w:tr>
      <w:tr w:rsidR="00BE6367" w14:paraId="5DC87AE7"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436E7616"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Fecha Registro:</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7FB4FFDB"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2026-07-10 (15:20)</w:t>
            </w:r>
          </w:p>
        </w:tc>
      </w:tr>
    </w:tbl>
    <w:p w14:paraId="6F1FE3FB" w14:textId="77777777" w:rsidR="00BE6367" w:rsidRDefault="00BE6367">
      <w:pPr>
        <w:jc w:val="both"/>
        <w:rPr>
          <w:rFonts w:ascii="Arial" w:eastAsia="Arial" w:hAnsi="Arial" w:cs="Arial"/>
          <w:b/>
          <w:bCs/>
          <w:sz w:val="20"/>
          <w:szCs w:val="20"/>
        </w:rPr>
      </w:pPr>
    </w:p>
    <w:p w14:paraId="3579FBE3"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Documento de Condiciones Especiales (DCE)</w:t>
      </w:r>
    </w:p>
    <w:p w14:paraId="23C0F5EE" w14:textId="77777777" w:rsidR="00BE6367" w:rsidRDefault="00BE6367">
      <w:pPr>
        <w:jc w:val="both"/>
        <w:rPr>
          <w:rFonts w:ascii="Arial" w:eastAsia="Arial" w:hAnsi="Arial" w:cs="Arial"/>
          <w:sz w:val="20"/>
          <w:szCs w:val="20"/>
        </w:rPr>
      </w:pPr>
    </w:p>
    <w:p w14:paraId="3CA7635C"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7C9B873A"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759FAEDC"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0A041241" w14:textId="77777777" w:rsidR="00BE6367" w:rsidRDefault="00BE6367">
      <w:pPr>
        <w:jc w:val="both"/>
        <w:rPr>
          <w:rFonts w:ascii="Arial" w:eastAsia="Arial" w:hAnsi="Arial" w:cs="Arial"/>
          <w:sz w:val="20"/>
          <w:szCs w:val="20"/>
        </w:rPr>
      </w:pPr>
    </w:p>
    <w:p w14:paraId="593D037B" w14:textId="77777777" w:rsidR="00BE6367" w:rsidRDefault="00BE6367">
      <w:pPr>
        <w:jc w:val="both"/>
        <w:rPr>
          <w:rFonts w:ascii="Arial" w:eastAsia="Arial" w:hAnsi="Arial" w:cs="Arial"/>
          <w:sz w:val="20"/>
          <w:szCs w:val="20"/>
        </w:rPr>
      </w:pPr>
    </w:p>
    <w:p w14:paraId="14BB648C"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 xml:space="preserve">Documento(s) Adjunto(s): </w:t>
      </w:r>
    </w:p>
    <w:p w14:paraId="740D00AF" w14:textId="77777777" w:rsidR="00BE6367" w:rsidRDefault="00BE6367">
      <w:pPr>
        <w:jc w:val="both"/>
        <w:rPr>
          <w:rFonts w:ascii="Arial" w:eastAsia="Arial" w:hAnsi="Arial" w:cs="Arial"/>
          <w:sz w:val="20"/>
          <w:szCs w:val="20"/>
        </w:rPr>
      </w:pPr>
    </w:p>
    <w:p w14:paraId="31E031C3" w14:textId="77777777" w:rsidR="00BE6367" w:rsidRDefault="00BE6367">
      <w:pPr>
        <w:jc w:val="both"/>
        <w:rPr>
          <w:rFonts w:ascii="Arial" w:eastAsia="Arial" w:hAnsi="Arial" w:cs="Arial"/>
          <w:sz w:val="20"/>
          <w:szCs w:val="20"/>
        </w:rPr>
      </w:pPr>
    </w:p>
    <w:p w14:paraId="00E1C6CF" w14:textId="77777777" w:rsidR="00BE6367" w:rsidRDefault="00BE6367">
      <w:pPr>
        <w:jc w:val="both"/>
        <w:rPr>
          <w:rFonts w:ascii="Arial" w:eastAsia="Arial" w:hAnsi="Arial" w:cs="Arial"/>
          <w:sz w:val="20"/>
          <w:szCs w:val="20"/>
        </w:rPr>
      </w:pPr>
    </w:p>
    <w:p w14:paraId="709492D1"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Ficha Técnica de Negociación</w:t>
      </w:r>
    </w:p>
    <w:p w14:paraId="0ED14ECC" w14:textId="77777777" w:rsidR="00BE6367" w:rsidRDefault="00BE6367">
      <w:pPr>
        <w:jc w:val="both"/>
        <w:rPr>
          <w:rFonts w:ascii="Arial" w:eastAsia="Arial" w:hAnsi="Arial" w:cs="Arial"/>
          <w:sz w:val="20"/>
          <w:szCs w:val="20"/>
        </w:rPr>
      </w:pPr>
    </w:p>
    <w:p w14:paraId="0EC8924C" w14:textId="77777777" w:rsidR="00BE6367" w:rsidRDefault="00BE6367">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p>
    <w:p w14:paraId="3FA12B33" w14:textId="77777777" w:rsidR="00BE6367" w:rsidRDefault="00C90F6A">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r>
        <w:rPr>
          <w:rFonts w:ascii="Arial" w:eastAsia="Arial" w:hAnsi="Arial" w:cs="Arial"/>
          <w:sz w:val="20"/>
          <w:szCs w:val="20"/>
        </w:rPr>
        <w:t xml:space="preserve">OBSERVACIONES </w:t>
      </w:r>
    </w:p>
    <w:p w14:paraId="25032935" w14:textId="77777777" w:rsidR="00BE6367" w:rsidRDefault="00BE6367">
      <w:pPr>
        <w:jc w:val="both"/>
        <w:rPr>
          <w:rFonts w:ascii="Arial" w:eastAsia="Arial" w:hAnsi="Arial" w:cs="Arial"/>
          <w:sz w:val="20"/>
          <w:szCs w:val="20"/>
        </w:rPr>
      </w:pPr>
    </w:p>
    <w:p w14:paraId="05509C64" w14:textId="77777777" w:rsidR="00BE6367" w:rsidRDefault="00BE6367">
      <w:pPr>
        <w:jc w:val="both"/>
        <w:rPr>
          <w:rFonts w:ascii="Arial" w:eastAsia="Arial" w:hAnsi="Arial" w:cs="Arial"/>
          <w:sz w:val="20"/>
          <w:szCs w:val="20"/>
        </w:rPr>
      </w:pPr>
    </w:p>
    <w:p w14:paraId="008C5C68"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Documento(s) Adjunto(s): Sí</w:t>
      </w:r>
    </w:p>
    <w:p w14:paraId="23C1BE7A" w14:textId="77777777" w:rsidR="00BE6367" w:rsidRDefault="00BE6367">
      <w:pPr>
        <w:jc w:val="both"/>
        <w:rPr>
          <w:rFonts w:ascii="Arial" w:eastAsia="Arial" w:hAnsi="Arial" w:cs="Arial"/>
          <w:sz w:val="20"/>
          <w:szCs w:val="20"/>
        </w:rPr>
      </w:pPr>
    </w:p>
    <w:p w14:paraId="5AB506BE" w14:textId="77777777" w:rsidR="00BE6367" w:rsidRDefault="00C90F6A">
      <w:pPr>
        <w:spacing w:after="400"/>
        <w:jc w:val="both"/>
        <w:rPr>
          <w:rFonts w:ascii="Arial" w:eastAsia="Arial" w:hAnsi="Arial" w:cs="Arial"/>
          <w:sz w:val="20"/>
          <w:szCs w:val="20"/>
        </w:rPr>
      </w:pPr>
      <w:r>
        <w:rPr>
          <w:rFonts w:ascii="Arial" w:eastAsia="Arial" w:hAnsi="Arial" w:cs="Arial"/>
          <w:sz w:val="20"/>
          <w:szCs w:val="20"/>
        </w:rPr>
        <w:lastRenderedPageBreak/>
        <w:t>Bogotá, 06 de julio de 2026</w:t>
      </w:r>
    </w:p>
    <w:p w14:paraId="6DD083BF" w14:textId="77777777" w:rsidR="00BE6367" w:rsidRDefault="00C90F6A">
      <w:pPr>
        <w:spacing w:after="40"/>
        <w:jc w:val="both"/>
        <w:rPr>
          <w:rFonts w:ascii="Arial" w:eastAsia="Arial" w:hAnsi="Arial" w:cs="Arial"/>
          <w:sz w:val="20"/>
          <w:szCs w:val="20"/>
        </w:rPr>
      </w:pPr>
      <w:r>
        <w:rPr>
          <w:rFonts w:ascii="Arial" w:eastAsia="Arial" w:hAnsi="Arial" w:cs="Arial"/>
          <w:b/>
          <w:bCs/>
          <w:sz w:val="20"/>
          <w:szCs w:val="20"/>
        </w:rPr>
        <w:t>Señores</w:t>
      </w:r>
    </w:p>
    <w:p w14:paraId="735B1AF0" w14:textId="77777777" w:rsidR="00BE6367" w:rsidRDefault="00BE6367">
      <w:pPr>
        <w:spacing w:after="40"/>
        <w:jc w:val="both"/>
        <w:rPr>
          <w:rFonts w:ascii="Arial" w:eastAsia="Arial" w:hAnsi="Arial" w:cs="Arial"/>
          <w:sz w:val="20"/>
          <w:szCs w:val="20"/>
        </w:rPr>
      </w:pPr>
    </w:p>
    <w:p w14:paraId="09256067" w14:textId="77777777" w:rsidR="00BE6367" w:rsidRDefault="00C90F6A">
      <w:pPr>
        <w:spacing w:after="300"/>
        <w:jc w:val="both"/>
        <w:rPr>
          <w:rFonts w:ascii="Arial" w:eastAsia="Arial" w:hAnsi="Arial" w:cs="Arial"/>
          <w:sz w:val="20"/>
          <w:szCs w:val="20"/>
        </w:rPr>
      </w:pPr>
      <w:r>
        <w:rPr>
          <w:rFonts w:ascii="Arial" w:eastAsia="Arial" w:hAnsi="Arial" w:cs="Arial"/>
          <w:sz w:val="20"/>
          <w:szCs w:val="20"/>
        </w:rPr>
        <w:t xml:space="preserve">PROCURADURÍA GENERAL DE LA NACIÓN </w:t>
      </w:r>
    </w:p>
    <w:p w14:paraId="79F00297" w14:textId="77777777" w:rsidR="00BE6367" w:rsidRDefault="00BE6367">
      <w:pPr>
        <w:spacing w:after="300"/>
        <w:jc w:val="both"/>
        <w:rPr>
          <w:rFonts w:ascii="Arial" w:eastAsia="Arial" w:hAnsi="Arial" w:cs="Arial"/>
          <w:b/>
          <w:bCs/>
          <w:sz w:val="20"/>
          <w:szCs w:val="20"/>
        </w:rPr>
      </w:pPr>
    </w:p>
    <w:p w14:paraId="07A05D62" w14:textId="77777777" w:rsidR="00BE6367" w:rsidRDefault="00C90F6A">
      <w:pPr>
        <w:spacing w:after="300"/>
        <w:jc w:val="both"/>
        <w:rPr>
          <w:rFonts w:ascii="Arial" w:eastAsia="Arial" w:hAnsi="Arial" w:cs="Arial"/>
          <w:b/>
          <w:bCs/>
          <w:sz w:val="20"/>
          <w:szCs w:val="20"/>
        </w:rPr>
      </w:pPr>
      <w:r>
        <w:rPr>
          <w:rFonts w:ascii="Arial" w:eastAsia="Arial" w:hAnsi="Arial" w:cs="Arial"/>
          <w:b/>
          <w:bCs/>
          <w:sz w:val="20"/>
          <w:szCs w:val="20"/>
        </w:rPr>
        <w:t>Referencia: Observaciones al FTN Y FTP</w:t>
      </w:r>
    </w:p>
    <w:p w14:paraId="2E2B3C43" w14:textId="77777777" w:rsidR="00BE6367" w:rsidRDefault="00C90F6A">
      <w:pPr>
        <w:jc w:val="both"/>
        <w:rPr>
          <w:rFonts w:ascii="Arial" w:eastAsia="Arial" w:hAnsi="Arial" w:cs="Arial"/>
          <w:sz w:val="20"/>
          <w:szCs w:val="20"/>
        </w:rPr>
      </w:pPr>
      <w:r>
        <w:rPr>
          <w:rFonts w:ascii="Arial" w:eastAsia="Arial" w:hAnsi="Arial" w:cs="Arial"/>
          <w:b/>
          <w:bCs/>
          <w:sz w:val="20"/>
          <w:szCs w:val="20"/>
        </w:rPr>
        <w:t xml:space="preserve">Objeto de la Negociación: </w:t>
      </w:r>
      <w:r>
        <w:rPr>
          <w:rFonts w:ascii="Arial" w:eastAsia="Arial" w:hAnsi="Arial" w:cs="Arial"/>
          <w:sz w:val="20"/>
          <w:szCs w:val="20"/>
        </w:rPr>
        <w:t xml:space="preserve">La presente negociación tiene como objeto </w:t>
      </w:r>
      <w:r>
        <w:rPr>
          <w:rFonts w:ascii="Arial" w:eastAsia="Arial" w:hAnsi="Arial" w:cs="Arial"/>
          <w:b/>
          <w:bCs/>
          <w:i/>
          <w:iCs/>
          <w:sz w:val="20"/>
          <w:szCs w:val="20"/>
        </w:rPr>
        <w:t>ADQUISICIÓN, IMPLEMENTACIÓN Y SOPORTE TECNOLÓGICO QUE INCLUYA SOLUCIONES AUDIOVISUALES, EQUIPOS DE CÓMPUTO Y PERIFÉRICOS PARA LA PROCURADURÍA GENERAL DE LA NACIÓN ”</w:t>
      </w:r>
      <w:r>
        <w:rPr>
          <w:rFonts w:ascii="Arial" w:eastAsia="Arial" w:hAnsi="Arial" w:cs="Arial"/>
          <w:sz w:val="20"/>
          <w:szCs w:val="20"/>
        </w:rPr>
        <w:t>, de conformidad con el procedimiento establecido en el Reglamento de Funcionamiento y operación de la Bolsa para el Mercado de Compras Públicas</w:t>
      </w:r>
    </w:p>
    <w:p w14:paraId="4BB3B101" w14:textId="77777777" w:rsidR="00BE6367" w:rsidRDefault="00BE6367">
      <w:pPr>
        <w:jc w:val="both"/>
        <w:rPr>
          <w:rFonts w:ascii="Arial" w:eastAsia="Arial" w:hAnsi="Arial" w:cs="Arial"/>
          <w:sz w:val="20"/>
          <w:szCs w:val="20"/>
        </w:rPr>
      </w:pPr>
    </w:p>
    <w:p w14:paraId="479A44F6" w14:textId="77777777" w:rsidR="00BE6367" w:rsidRDefault="00C90F6A">
      <w:pPr>
        <w:jc w:val="both"/>
        <w:rPr>
          <w:rFonts w:ascii="Arial" w:eastAsia="Arial" w:hAnsi="Arial" w:cs="Arial"/>
          <w:sz w:val="20"/>
          <w:szCs w:val="20"/>
        </w:rPr>
      </w:pPr>
      <w:r>
        <w:rPr>
          <w:rFonts w:ascii="Arial" w:eastAsia="Arial" w:hAnsi="Arial" w:cs="Arial"/>
          <w:sz w:val="20"/>
          <w:szCs w:val="20"/>
        </w:rPr>
        <w:t>Por medio del presente enviamos las siguientes observaciones de las especificaciones de la FTP:</w:t>
      </w:r>
    </w:p>
    <w:p w14:paraId="045463CB"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ITEM: SOLUCIÓN COMPLETA DE VIDEO</w:t>
      </w:r>
    </w:p>
    <w:p w14:paraId="34850EBB" w14:textId="77777777" w:rsidR="00BE6367" w:rsidRDefault="00C90F6A">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color w:val="000000"/>
          <w:sz w:val="20"/>
          <w:szCs w:val="20"/>
        </w:rPr>
        <w:t>Enviamos las siguientes observaciones técnicas relacionadas con el item “SOLUCIÓN COMPLETA DE VIDEO”</w:t>
      </w:r>
    </w:p>
    <w:p w14:paraId="6F92E74F" w14:textId="77777777" w:rsidR="00BE6367" w:rsidRDefault="00C90F6A">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b/>
          <w:bCs/>
          <w:color w:val="000000"/>
          <w:sz w:val="20"/>
          <w:szCs w:val="20"/>
        </w:rPr>
        <w:t>Observación 1 — Campo de visión</w:t>
      </w:r>
    </w:p>
    <w:p w14:paraId="71C0B78F" w14:textId="77777777" w:rsidR="00BE6367" w:rsidRDefault="00C90F6A">
      <w:pPr>
        <w:numPr>
          <w:ilvl w:val="0"/>
          <w:numId w:val="53"/>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Texto actual:</w:t>
      </w:r>
      <w:r>
        <w:rPr>
          <w:rFonts w:ascii="Arial" w:eastAsia="Arial" w:hAnsi="Arial" w:cs="Arial"/>
          <w:color w:val="000000"/>
          <w:sz w:val="20"/>
          <w:szCs w:val="20"/>
        </w:rPr>
        <w:t xml:space="preserve"> "El ángulo de visión horizontal no deberá ser inferior a 160° y vertical mínimo 54°."</w:t>
      </w:r>
    </w:p>
    <w:p w14:paraId="094EDE84" w14:textId="77777777" w:rsidR="00BE6367" w:rsidRDefault="00C90F6A">
      <w:pPr>
        <w:numPr>
          <w:ilvl w:val="0"/>
          <w:numId w:val="53"/>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Justificación:</w:t>
      </w:r>
      <w:sdt>
        <w:sdtPr>
          <w:tag w:val="goog_rdk_11"/>
          <w:id w:val="-872706430"/>
        </w:sdtPr>
        <w:sdtContent>
          <w:r>
            <w:rPr>
              <w:rFonts w:ascii="Arial Unicode MS" w:eastAsia="Arial Unicode MS" w:hAnsi="Arial Unicode MS" w:cs="Arial Unicode MS"/>
              <w:color w:val="000000"/>
              <w:sz w:val="20"/>
              <w:szCs w:val="20"/>
            </w:rPr>
            <w:t xml:space="preserve"> Un FOV ≥160° solo existe en la arquitectura panorámica cosida de un fabricante. El objetivo funcional del requisito es que todos los participantes queden encuadrados; las salas de destino (salas de audiencia) son espacios profundos donde el desempeño relevante es la resolución por participante a distancia y el encuadre inteligente, no la amplitud extrema del ángulo. Un FOV ultra-ancho reduce la densidad de píxeles por rostro y no aporta valor en salas cuya geometría es longitudinal.</w:t>
          </w:r>
        </w:sdtContent>
      </w:sdt>
    </w:p>
    <w:p w14:paraId="31BB2148" w14:textId="77777777" w:rsidR="00BE6367" w:rsidRDefault="00C90F6A">
      <w:pPr>
        <w:numPr>
          <w:ilvl w:val="0"/>
          <w:numId w:val="53"/>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Redacción propuesta:</w:t>
      </w:r>
      <w:r>
        <w:rPr>
          <w:rFonts w:ascii="Arial" w:eastAsia="Arial" w:hAnsi="Arial" w:cs="Arial"/>
          <w:color w:val="000000"/>
          <w:sz w:val="20"/>
          <w:szCs w:val="20"/>
        </w:rPr>
        <w:t xml:space="preserve"> "El dispositivo deberá garantizar el encuadre de la totalidad de los participantes de la sala mediante un campo de visión horizontal mínimo de 95°, complementado obligatoriamente con sistema de encuadre automático basado en IA (auto-framing, seguimiento de orador y composición dinámica). Se valorará arquitectura óptica multicámara con lentes de distinta distancia focal que preserve la resolución de los participantes ubicados al fondo de la sala."</w:t>
      </w:r>
    </w:p>
    <w:p w14:paraId="72F88AE3"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43F52E76" w14:textId="77777777" w:rsidR="00BE6367" w:rsidRDefault="00C90F6A">
      <w:pPr>
        <w:jc w:val="both"/>
        <w:rPr>
          <w:rFonts w:ascii="Arial" w:eastAsia="Arial" w:hAnsi="Arial" w:cs="Arial"/>
          <w:sz w:val="20"/>
          <w:szCs w:val="20"/>
        </w:rPr>
      </w:pPr>
      <w:r>
        <w:rPr>
          <w:rFonts w:ascii="Arial" w:eastAsia="Arial" w:hAnsi="Arial" w:cs="Arial"/>
          <w:sz w:val="20"/>
          <w:szCs w:val="20"/>
        </w:rPr>
        <w:t>No se acepta la modificación del requisito de campo de visión horizontal mínimo de 160°. Se acepta parcialmente la observación en lo relativo a las funciones de encuadre inteligente, en los términos que se indican al final.</w:t>
      </w:r>
    </w:p>
    <w:p w14:paraId="3004326B" w14:textId="77777777" w:rsidR="00BE6367" w:rsidRDefault="00C90F6A">
      <w:pPr>
        <w:spacing w:before="240" w:after="240"/>
        <w:jc w:val="both"/>
        <w:rPr>
          <w:rFonts w:ascii="Arial" w:eastAsia="Arial" w:hAnsi="Arial" w:cs="Arial"/>
          <w:color w:val="000000"/>
          <w:sz w:val="20"/>
          <w:szCs w:val="20"/>
        </w:rPr>
      </w:pPr>
      <w:r>
        <w:rPr>
          <w:rFonts w:ascii="Arial" w:eastAsia="Arial" w:hAnsi="Arial" w:cs="Arial"/>
          <w:b/>
          <w:bCs/>
          <w:sz w:val="20"/>
          <w:szCs w:val="20"/>
        </w:rPr>
        <w:t>1. Sobre la necesidad real de la Entidad.</w:t>
      </w:r>
      <w:r>
        <w:rPr>
          <w:rFonts w:ascii="Arial" w:eastAsia="Arial" w:hAnsi="Arial" w:cs="Arial"/>
          <w:sz w:val="20"/>
          <w:szCs w:val="20"/>
        </w:rPr>
        <w:t xml:space="preserve"> La premisa del observante según la cual los espacios de destino corresponden a "salas profundas" de geometría longitudinal no se ajusta a la realidad de los espacios beneficiarios. Las oficinas y salas objeto de esta dotación no siguen diseños estandarizados ni corresponden específicamente a salas de juntas: incluyen despachos, oficinas adaptadas y espacios de reunión de geometrías heterogéneas, en su mayoría de poca profundidad, donde los participantes se ubican a corta distancia del dispositivo y hacia los extremos laterales de la sala. En esas condiciones, un campo de visión convencional </w:t>
      </w:r>
      <w:r>
        <w:rPr>
          <w:rFonts w:ascii="Arial" w:eastAsia="Arial" w:hAnsi="Arial" w:cs="Arial"/>
          <w:sz w:val="20"/>
          <w:szCs w:val="20"/>
        </w:rPr>
        <w:lastRenderedPageBreak/>
        <w:t>(95°–120°) deja participantes por fuera del encuadre, obligando al usuario a reacomodar muebles, sillas o escritorios antes de cada llamada. La Entidad requiere que el usuario pueda iniciar una sesión de manera inmediata, sin reconfigurar el espacio y con el menor número de elementos instalados, y esa versatilidad solo la garantiza una visión panorámica igual o superior a 160°.</w:t>
      </w:r>
    </w:p>
    <w:p w14:paraId="2C0F0CA3" w14:textId="77777777" w:rsidR="00BE6367" w:rsidRDefault="00C90F6A">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b/>
          <w:bCs/>
          <w:color w:val="000000"/>
          <w:sz w:val="20"/>
          <w:szCs w:val="20"/>
        </w:rPr>
        <w:t>Observación 2 — Resolución de cámara</w:t>
      </w:r>
    </w:p>
    <w:p w14:paraId="586493EB" w14:textId="77777777" w:rsidR="00BE6367" w:rsidRDefault="00C90F6A">
      <w:pPr>
        <w:numPr>
          <w:ilvl w:val="0"/>
          <w:numId w:val="54"/>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Texto actual:</w:t>
      </w:r>
      <w:r>
        <w:rPr>
          <w:rFonts w:ascii="Arial" w:eastAsia="Arial" w:hAnsi="Arial" w:cs="Arial"/>
          <w:color w:val="000000"/>
          <w:sz w:val="20"/>
          <w:szCs w:val="20"/>
        </w:rPr>
        <w:t xml:space="preserve"> "Deberá soportar captura de video en resolución mínima en modo panorámico 4K (3840 × 1080)."</w:t>
      </w:r>
    </w:p>
    <w:p w14:paraId="258B7BE2" w14:textId="77777777" w:rsidR="00BE6367" w:rsidRDefault="00C90F6A">
      <w:pPr>
        <w:numPr>
          <w:ilvl w:val="0"/>
          <w:numId w:val="54"/>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Justificación:</w:t>
      </w:r>
      <w:r>
        <w:rPr>
          <w:rFonts w:ascii="Arial" w:eastAsia="Arial" w:hAnsi="Arial" w:cs="Arial"/>
          <w:color w:val="000000"/>
          <w:sz w:val="20"/>
          <w:szCs w:val="20"/>
        </w:rPr>
        <w:t xml:space="preserve"> El formato 3840×1080 es propio de una arquitectura panorámica específica. La necesidad funcional es video 4K; existen soluciones que entregan 4K UHD (3840×2160) con mayor cantidad total de píxeles, es decir, igual o superior calidad.</w:t>
      </w:r>
    </w:p>
    <w:p w14:paraId="731C5AF3" w14:textId="77777777" w:rsidR="00BE6367" w:rsidRDefault="00C90F6A">
      <w:pPr>
        <w:numPr>
          <w:ilvl w:val="0"/>
          <w:numId w:val="54"/>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Redacción propuesta:</w:t>
      </w:r>
      <w:r>
        <w:rPr>
          <w:rFonts w:ascii="Arial" w:eastAsia="Arial" w:hAnsi="Arial" w:cs="Arial"/>
          <w:color w:val="000000"/>
          <w:sz w:val="20"/>
          <w:szCs w:val="20"/>
        </w:rPr>
        <w:t xml:space="preserve"> "Deberá soportar captura y salida de video en resolución mínima 4K, entendida como 3840×2160 (UHD) o 3840×1080 (panorámico), con sensores cuya resolución combinada no sea inferior a 16 MP."</w:t>
      </w:r>
    </w:p>
    <w:p w14:paraId="21DA11EB" w14:textId="77777777" w:rsidR="00BE6367" w:rsidRDefault="00BE6367">
      <w:pPr>
        <w:pBdr>
          <w:top w:val="nil"/>
          <w:left w:val="nil"/>
          <w:bottom w:val="nil"/>
          <w:right w:val="nil"/>
          <w:between w:val="nil"/>
        </w:pBdr>
        <w:spacing w:line="240" w:lineRule="auto"/>
        <w:jc w:val="both"/>
        <w:rPr>
          <w:rFonts w:ascii="Arial" w:eastAsia="Arial" w:hAnsi="Arial" w:cs="Arial"/>
          <w:sz w:val="20"/>
          <w:szCs w:val="20"/>
        </w:rPr>
      </w:pPr>
    </w:p>
    <w:p w14:paraId="45EE1EBD"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w:t>
      </w:r>
    </w:p>
    <w:p w14:paraId="5B1E259B"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Se acepta parcialmente la observación. En aplicación de los principios de libre concurrencia y selección objetiva (art. 5 Ley 1150 de 2007), la Entidad precisa que la necesidad funcional exigida corresponde a la captura y salida de video en resolución 4K, la cual puede materializarse tanto en formato panorámico (3840×1080) como en formato UHD (3840×2160), sin que ello disminuya el estándar de calidad de imagen requerido para el uso previsto del equipo. En consecuencia, se ajusta la ficha técnica para admitir ambos formatos como cumplimiento válido del requisito.</w:t>
      </w:r>
    </w:p>
    <w:p w14:paraId="2E958932"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No se acepta la inclusión del parámetro de "resolución combinada de sensores" propuesto por el observante, por corresponder a una característica constructiva interna del equipo y no a un parámetro de desempeño verificable sobre la plataforma de colaboración. La Entidad reitera que el criterio relevante para la evaluación es la resolución de video efectivamente entregada en la salida del sistema, y no la suma nominal de megapíxeles de los sensores que la originan, en concordancia con el criterio ya adoptado por la Entidad respecto de especificaciones análogas de este proceso.</w:t>
      </w:r>
    </w:p>
    <w:p w14:paraId="39BD0D7E"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En consecuencia, la característica quedará redactada así: "Deberá soportar captura de video en resolución mínima 4K, en formato panorámico (3840×1080) o UHD (3840×2160), garantizando dicha resolución sobre la totalidad del campo de visión mínimo exigido en la presente ficha técnica", debiendo el proponente acreditar dicho cumplimiento mediante la ficha técnica del fabricante del equipo ofertado.</w:t>
      </w:r>
    </w:p>
    <w:p w14:paraId="24BB7BCF" w14:textId="77777777" w:rsidR="00BE6367" w:rsidRDefault="00C90F6A">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b/>
          <w:bCs/>
          <w:color w:val="000000"/>
          <w:sz w:val="20"/>
          <w:szCs w:val="20"/>
        </w:rPr>
        <w:t>Observación 3 — Peso</w:t>
      </w:r>
    </w:p>
    <w:p w14:paraId="4789704B" w14:textId="77777777" w:rsidR="00BE6367" w:rsidRDefault="00C90F6A">
      <w:pPr>
        <w:numPr>
          <w:ilvl w:val="0"/>
          <w:numId w:val="55"/>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Texto actual:</w:t>
      </w:r>
      <w:r>
        <w:rPr>
          <w:rFonts w:ascii="Arial" w:eastAsia="Arial" w:hAnsi="Arial" w:cs="Arial"/>
          <w:color w:val="000000"/>
          <w:sz w:val="20"/>
          <w:szCs w:val="20"/>
        </w:rPr>
        <w:t xml:space="preserve"> "El peso del dispositivo no deberá ser superior a 2.259 g."</w:t>
      </w:r>
    </w:p>
    <w:p w14:paraId="7EA5BAA5" w14:textId="77777777" w:rsidR="00BE6367" w:rsidRDefault="00C90F6A">
      <w:pPr>
        <w:numPr>
          <w:ilvl w:val="0"/>
          <w:numId w:val="55"/>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Justificación:</w:t>
      </w:r>
      <w:r>
        <w:rPr>
          <w:rFonts w:ascii="Arial" w:eastAsia="Arial" w:hAnsi="Arial" w:cs="Arial"/>
          <w:color w:val="000000"/>
          <w:sz w:val="20"/>
          <w:szCs w:val="20"/>
        </w:rPr>
        <w:t xml:space="preserve"> La especificación coincide exactamente con la hoja técnica de una única referencia comercial y carece de justificación funcional: los equipos se instalan de forma fija en pared, mesa o soporte VESA, donde diferencias de 1–3 kg no afectan la operación, el montaje ni la seguridad. Requisitos dimensionales sin sustento funcional restringen artificialmente la participación.</w:t>
      </w:r>
    </w:p>
    <w:p w14:paraId="36F63E22" w14:textId="77777777" w:rsidR="00BE6367" w:rsidRDefault="00C90F6A">
      <w:pPr>
        <w:numPr>
          <w:ilvl w:val="0"/>
          <w:numId w:val="55"/>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Redacción propuesta:</w:t>
      </w:r>
      <w:r>
        <w:rPr>
          <w:rFonts w:ascii="Arial" w:eastAsia="Arial" w:hAnsi="Arial" w:cs="Arial"/>
          <w:color w:val="000000"/>
          <w:sz w:val="20"/>
          <w:szCs w:val="20"/>
        </w:rPr>
        <w:t xml:space="preserve"> Eliminar la característica, o en su defecto: "El peso del dispositivo no deberá superar los 6 kg, incluyendo accesorios de montaje suministrados por el fabricante."</w:t>
      </w:r>
    </w:p>
    <w:p w14:paraId="1FBA714D"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w:t>
      </w:r>
    </w:p>
    <w:p w14:paraId="4E994D5F"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lastRenderedPageBreak/>
        <w:t>Se acepta parcialmente la observación. La Entidad, en ejercicio de su autonomía técnica y con fundamento en el análisis de las condiciones reales de instalación de los equipos, precisa que el peso constituye una característica funcional relevante para la seguridad de la instalación, en la medida en que los dispositivos se instalarán en espacios heterogéneos, sobre soportes de pantalla o directamente en superficies de pared —incluyendo muros en drywall no reforzado y superficies en madera—, sin que se contemplen obras de adecuación estructural adicionales. En tales condiciones, el peso del equipo incide directamente en la integridad de las superficies de instalación, la estabilidad del montaje y la versatilidad de reubicación de los equipos entre distintos espacios.</w:t>
      </w:r>
    </w:p>
    <w:p w14:paraId="6A3A0A67"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Entidad ajusta la característica para expresar un límite funcional razonable de 3 kg, sin incluir accesorios de montaje, cifra que la Entidad considera adecuada para garantizar la seguridad de la instalación en las condiciones antes descritas, sin restringir la pluralidad de oferentes en el mercado de equipos de esta categoría.</w:t>
      </w:r>
    </w:p>
    <w:p w14:paraId="4FAE09E7"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característica quedará así: "El peso del dispositivo no deberá ser superior a 3 kg, sin incluir accesorios de montaje", debiendo el proponente acreditar dicho cumplimiento mediante la ficha técnica del fabricante del equipo ofertado.</w:t>
      </w:r>
    </w:p>
    <w:p w14:paraId="62BEBFC1" w14:textId="77777777" w:rsidR="00BE6367" w:rsidRDefault="00C90F6A">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b/>
          <w:bCs/>
          <w:color w:val="000000"/>
          <w:sz w:val="20"/>
          <w:szCs w:val="20"/>
        </w:rPr>
        <w:t>Observación 4 — Alcance del micrófono (elevación de exigencia)</w:t>
      </w:r>
    </w:p>
    <w:p w14:paraId="4ACF2AFA" w14:textId="77777777" w:rsidR="00BE6367" w:rsidRDefault="00C90F6A">
      <w:pPr>
        <w:numPr>
          <w:ilvl w:val="0"/>
          <w:numId w:val="57"/>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Texto actual:</w:t>
      </w:r>
      <w:r>
        <w:rPr>
          <w:rFonts w:ascii="Arial" w:eastAsia="Arial" w:hAnsi="Arial" w:cs="Arial"/>
          <w:color w:val="000000"/>
          <w:sz w:val="20"/>
          <w:szCs w:val="20"/>
        </w:rPr>
        <w:t xml:space="preserve"> "Deberá contar con alcance mínimo de 4 mts."</w:t>
      </w:r>
    </w:p>
    <w:p w14:paraId="08B086D3" w14:textId="77777777" w:rsidR="00BE6367" w:rsidRDefault="00C90F6A">
      <w:pPr>
        <w:numPr>
          <w:ilvl w:val="0"/>
          <w:numId w:val="57"/>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Justificación:</w:t>
      </w:r>
      <w:r>
        <w:rPr>
          <w:rFonts w:ascii="Arial" w:eastAsia="Arial" w:hAnsi="Arial" w:cs="Arial"/>
          <w:color w:val="000000"/>
          <w:sz w:val="20"/>
          <w:szCs w:val="20"/>
        </w:rPr>
        <w:t xml:space="preserve"> Considerando la profundidad típica de las salas de destino, un alcance de captación de 4 m resulta insuficiente y obligaría a depender de accesorios para cumplir la necesidad real. Se solicita elevar el requisito para asegurar cobertura efectiva.</w:t>
      </w:r>
    </w:p>
    <w:p w14:paraId="7731037F" w14:textId="77777777" w:rsidR="00BE6367" w:rsidRDefault="00C90F6A">
      <w:pPr>
        <w:numPr>
          <w:ilvl w:val="0"/>
          <w:numId w:val="57"/>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Redacción propuesta:</w:t>
      </w:r>
      <w:r>
        <w:rPr>
          <w:rFonts w:ascii="Arial" w:eastAsia="Arial" w:hAnsi="Arial" w:cs="Arial"/>
          <w:color w:val="000000"/>
          <w:sz w:val="20"/>
          <w:szCs w:val="20"/>
        </w:rPr>
        <w:t xml:space="preserve"> "El arreglo de micrófonos integrado deberá contar con alcance de captación mínimo de 6 metros, ampliable mediante unidades de extensión de audio del mismo fabricante."</w:t>
      </w:r>
    </w:p>
    <w:p w14:paraId="2E601DD8" w14:textId="77777777" w:rsidR="00BE6367" w:rsidRDefault="00C90F6A">
      <w:pPr>
        <w:spacing w:line="240" w:lineRule="auto"/>
        <w:jc w:val="both"/>
        <w:rPr>
          <w:rFonts w:ascii="Arial" w:eastAsia="Arial" w:hAnsi="Arial" w:cs="Arial"/>
          <w:b/>
          <w:bCs/>
          <w:sz w:val="20"/>
          <w:szCs w:val="20"/>
        </w:rPr>
      </w:pPr>
      <w:r>
        <w:rPr>
          <w:rFonts w:ascii="Arial" w:eastAsia="Arial" w:hAnsi="Arial" w:cs="Arial"/>
          <w:b/>
          <w:bCs/>
          <w:sz w:val="20"/>
          <w:szCs w:val="20"/>
        </w:rPr>
        <w:t>RESPUESTA A OBSERVACIÓN:</w:t>
      </w:r>
    </w:p>
    <w:p w14:paraId="3865A0F1"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Se acepta la observación. La Entidad, con fundamento en el análisis de la profundidad típica de las salas de destino previstas para el presente proceso, precisa que el alcance de captación exigido debe garantizar una cobertura efectiva superior a la inicialmente prevista. En consecuencia, se ajusta la característica para exigir un alcance de captación nativo mínimo de 6 metros en el arreglo de micrófonos integrado en la barra, complementado mediante la unidad de extensión de audio exigida en ítem separado dentro del presente proceso, con el fin de alcanzar una cobertura total mínima de 10 metros.</w:t>
      </w:r>
    </w:p>
    <w:p w14:paraId="2DDBFD3E"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La Entidad precisa que la exigencia de que la unidad de extensión corresponda al mismo fabricante del arreglo de micrófonos integrado obedece a la necesidad de garantizar la plena interoperabilidad, sincronización y procesamiento unificado de audio entre ambos componentes, sin perjuicio de que el proponente pueda acreditar, mediante ficha técnica del fabricante, la compatibilidad plena de una solución de extensión de audio de fabricante distinto que satisfaga la misma finalidad funcional de cobertura e interoperabilidad.</w:t>
      </w:r>
    </w:p>
    <w:p w14:paraId="6B8EF622"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La característica quedará así: "El arreglo de micrófonos integrado en la barra deberá contar con alcance de captación nativo mínimo de 6 metros, ampliable a una cobertura total mínima de 10 metros mediante la unidad de extensión de audio del mismo fabricante requerida en el presente proceso, o mediante una solución de extensión de fabricante distinto que el proponente acredite como plenamente compatible e interoperable con el arreglo de micrófonos ofertado."</w:t>
      </w:r>
    </w:p>
    <w:p w14:paraId="6685628C" w14:textId="77777777" w:rsidR="00BE6367" w:rsidRDefault="00C90F6A">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b/>
          <w:bCs/>
          <w:color w:val="000000"/>
          <w:sz w:val="20"/>
          <w:szCs w:val="20"/>
        </w:rPr>
        <w:t>Observación 5 — Zoom</w:t>
      </w:r>
    </w:p>
    <w:p w14:paraId="262279CA" w14:textId="77777777" w:rsidR="00BE6367" w:rsidRDefault="00C90F6A">
      <w:pPr>
        <w:numPr>
          <w:ilvl w:val="0"/>
          <w:numId w:val="58"/>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Texto actual:</w:t>
      </w:r>
      <w:r>
        <w:rPr>
          <w:rFonts w:ascii="Arial" w:eastAsia="Arial" w:hAnsi="Arial" w:cs="Arial"/>
          <w:color w:val="000000"/>
          <w:sz w:val="20"/>
          <w:szCs w:val="20"/>
        </w:rPr>
        <w:t xml:space="preserve"> "Deberá soportar mínimo zoom digital de hasta 6x."</w:t>
      </w:r>
    </w:p>
    <w:p w14:paraId="13A70790" w14:textId="77777777" w:rsidR="00BE6367" w:rsidRDefault="00C90F6A">
      <w:pPr>
        <w:numPr>
          <w:ilvl w:val="0"/>
          <w:numId w:val="58"/>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lastRenderedPageBreak/>
        <w:t>Redacción propuesta:</w:t>
      </w:r>
      <w:r>
        <w:rPr>
          <w:rFonts w:ascii="Arial" w:eastAsia="Arial" w:hAnsi="Arial" w:cs="Arial"/>
          <w:color w:val="000000"/>
          <w:sz w:val="20"/>
          <w:szCs w:val="20"/>
        </w:rPr>
        <w:t xml:space="preserve"> "Deberá soportar acercamiento mínimo equivalente a 6x, mediante zoom digital, zoom híbrido o arquitectura óptica multicámara con lentes telefoto dedicados que provea un resultado igual o superior en resolución efectiva sobre el participante."</w:t>
      </w:r>
    </w:p>
    <w:p w14:paraId="09D9D63D" w14:textId="77777777" w:rsidR="00BE6367" w:rsidRDefault="00C90F6A">
      <w:pPr>
        <w:numPr>
          <w:ilvl w:val="0"/>
          <w:numId w:val="58"/>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Justificación:</w:t>
      </w:r>
      <w:r>
        <w:rPr>
          <w:rFonts w:ascii="Arial" w:eastAsia="Arial" w:hAnsi="Arial" w:cs="Arial"/>
          <w:color w:val="000000"/>
          <w:sz w:val="20"/>
          <w:szCs w:val="20"/>
        </w:rPr>
        <w:t xml:space="preserve"> El zoom digital puro degrada la imagen por interpolación; los lentes telefoto dedicados logran el mismo acercamiento sin pérdida. Restringir el mecanismo (y no el resultado)</w:t>
      </w:r>
    </w:p>
    <w:p w14:paraId="04FC9B1C"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69D73672"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Se acepta parcialmente la observación. En aplicación de los principios de libre concurrencia y selección objetiva (art. 5 Ley 1150 de 2007), la Entidad precisa que el acercamiento mínimo de 6x podrá lograrse mediante zoom digital o zoom híbrido, ampliando así las alternativas tecnológicas admisibles para el cumplimiento del requisito.</w:t>
      </w:r>
    </w:p>
    <w:p w14:paraId="005092E0"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No se acepta, sin embargo, la fórmula de "resolución efectiva equivalente sobre el participante" mediante arquitectura óptica multicámara con lentes telefoto dedicados, por las siguientes razones: (i) dicha fórmula no cuenta con una métrica normalizada que permita al comité evaluador verificar objetivamente su cumplimiento, lo cual introduciría un criterio de apreciación subjetiva contrario a los principios de transparencia y selección objetiva (arts. 24 Ley 80 de 1993 y 5 Ley 1150 de 2007); y (ii) los lentes telefoto de encuadre fijo operan típicamente sobre una región limitada de la escena, mientras que la necesidad de la Entidad exige que el acercamiento se encuentre disponible sobre la totalidad del campo de visión mínimo exigido en la ficha técnica, incluidos los participantes ubicados en los extremos laterales del encuadre panorámico.</w:t>
      </w:r>
    </w:p>
    <w:p w14:paraId="2E1F5E96"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La característica quedará así: "Deberá soportar zoom digital o híbrido mínimo de 6x, aplicable sobre la totalidad del campo de visión mínimo exigido en la presente ficha técnica", debiendo el proponente acreditar dicho cumplimiento mediante la ficha técnica del fabricante del equipo ofertado.</w:t>
      </w:r>
    </w:p>
    <w:p w14:paraId="047C77B7" w14:textId="77777777" w:rsidR="00BE6367" w:rsidRDefault="00C90F6A">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b/>
          <w:bCs/>
          <w:color w:val="000000"/>
          <w:sz w:val="20"/>
          <w:szCs w:val="20"/>
        </w:rPr>
        <w:t>Observación 6 — Configuración de puertos</w:t>
      </w:r>
    </w:p>
    <w:p w14:paraId="36095377" w14:textId="77777777" w:rsidR="00BE6367" w:rsidRDefault="00C90F6A">
      <w:pPr>
        <w:numPr>
          <w:ilvl w:val="0"/>
          <w:numId w:val="59"/>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Texto actual:</w:t>
      </w:r>
      <w:r>
        <w:rPr>
          <w:rFonts w:ascii="Arial" w:eastAsia="Arial" w:hAnsi="Arial" w:cs="Arial"/>
          <w:color w:val="000000"/>
          <w:sz w:val="20"/>
          <w:szCs w:val="20"/>
        </w:rPr>
        <w:t xml:space="preserve"> "…Ethernet (RJ45), HDMI, Wi-Fi (802.11a/b/g/n/ac), 1 x USB-A, 2 x USB-C" y "cable USB-C a USB-A incluido de longitud mínima de 1,5 m".</w:t>
      </w:r>
    </w:p>
    <w:p w14:paraId="1ED3C79C" w14:textId="77777777" w:rsidR="00BE6367" w:rsidRDefault="00C90F6A">
      <w:pPr>
        <w:numPr>
          <w:ilvl w:val="0"/>
          <w:numId w:val="59"/>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Justificación:</w:t>
      </w:r>
      <w:r>
        <w:rPr>
          <w:rFonts w:ascii="Arial" w:eastAsia="Arial" w:hAnsi="Arial" w:cs="Arial"/>
          <w:color w:val="000000"/>
          <w:sz w:val="20"/>
          <w:szCs w:val="20"/>
        </w:rPr>
        <w:t xml:space="preserve"> La enumeración exacta de cantidad y tipo de puertos USB reproduce la configuración física de una única referencia. La necesidad funcional es conectividad de red, video, inalámbrica y de periféricos/BYOD.</w:t>
      </w:r>
    </w:p>
    <w:p w14:paraId="3D9D7B2C" w14:textId="77777777" w:rsidR="00BE6367" w:rsidRDefault="00C90F6A">
      <w:pPr>
        <w:numPr>
          <w:ilvl w:val="0"/>
          <w:numId w:val="59"/>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Redacción propuesta:</w:t>
      </w:r>
      <w:r>
        <w:rPr>
          <w:rFonts w:ascii="Arial" w:eastAsia="Arial" w:hAnsi="Arial" w:cs="Arial"/>
          <w:color w:val="000000"/>
          <w:sz w:val="20"/>
          <w:szCs w:val="20"/>
        </w:rPr>
        <w:t xml:space="preserve"> "Deberá contar como mínimo con: un (1) puerto Ethernet RJ45; una (1) salida HDMI (se valorará doble salida HDMI para configuración de pantalla dual); Wi-Fi 802.11ac o superior; Bluetooth; y mínimo tres (3) puertos USB en cualquier combinación de Tipo A, Tipo B y/o Tipo C, incluyendo soporte de modo BYOD. Deberán incluirse todos los cables requeridos para la instalación y operación."</w:t>
      </w:r>
    </w:p>
    <w:p w14:paraId="5D8B161B"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3BDC02D2" w14:textId="77777777" w:rsidR="00BE6367" w:rsidRDefault="00C90F6A">
      <w:pPr>
        <w:spacing w:line="240" w:lineRule="auto"/>
        <w:jc w:val="both"/>
        <w:rPr>
          <w:rFonts w:ascii="Arial" w:eastAsia="Arial" w:hAnsi="Arial" w:cs="Arial"/>
          <w:sz w:val="20"/>
          <w:szCs w:val="20"/>
        </w:rPr>
      </w:pPr>
      <w:r>
        <w:rPr>
          <w:rFonts w:ascii="Arial" w:eastAsia="Arial" w:hAnsi="Arial" w:cs="Arial"/>
          <w:sz w:val="20"/>
          <w:szCs w:val="20"/>
        </w:rPr>
        <w:t>Se acepta parcialmente. Le asiste razón al observante en que la necesidad de la Entidad se satisface con la disponibilidad funcional de puertos y no con una distribución específica por tipo, por lo que se ajusta la redacción de los puertos USB y de los cables. No se acepta la inclusión de Bluetooth, por no corresponder a una necesidad identificada por la Entidad y constituir una interfaz inalámbrica obligatoria adicional que amplía innecesariamente la superficie de exposición de equipos destinados a espacios donde se trata información reservada. Tampoco se acepta la expresión "se valorará doble salida HDMI", por cuanto la ficha técnica en el mercado de compras públicas contiene requisitos mínimos de obligatorio cumplimiento y no admite criterios de ponderación; la Entidad requiere una (1) salida de video, siendo admisible que el equipo cuente con salidas adicionales.</w:t>
      </w:r>
    </w:p>
    <w:p w14:paraId="0264F32E" w14:textId="77777777" w:rsidR="00BE6367" w:rsidRDefault="00C90F6A">
      <w:pPr>
        <w:spacing w:line="240" w:lineRule="auto"/>
        <w:jc w:val="both"/>
        <w:rPr>
          <w:rFonts w:ascii="Arial" w:eastAsia="Arial" w:hAnsi="Arial" w:cs="Arial"/>
          <w:sz w:val="20"/>
          <w:szCs w:val="20"/>
        </w:rPr>
      </w:pPr>
      <w:r>
        <w:rPr>
          <w:rFonts w:ascii="Arial" w:eastAsia="Arial" w:hAnsi="Arial" w:cs="Arial"/>
          <w:sz w:val="20"/>
          <w:szCs w:val="20"/>
        </w:rPr>
        <w:t xml:space="preserve">La característica quedará así: "Deberá contar como mínimo con: un (1) puerto Ethernet RJ45; una (1) salida HDMI; Wi-Fi 802.11a/b/g/n/ac o superior; y mínimo tres (3) puertos USB en </w:t>
      </w:r>
      <w:r>
        <w:rPr>
          <w:rFonts w:ascii="Arial" w:eastAsia="Arial" w:hAnsi="Arial" w:cs="Arial"/>
          <w:sz w:val="20"/>
          <w:szCs w:val="20"/>
        </w:rPr>
        <w:lastRenderedPageBreak/>
        <w:t>cualquier combinación de Tipo A y/o Tipo C, con soporte de modo BYOD. Deberán incluirse todos los cables requeridos para la instalación y operación del equipo."</w:t>
      </w:r>
    </w:p>
    <w:p w14:paraId="75D1EAB9" w14:textId="77777777" w:rsidR="00BE6367" w:rsidRDefault="00C90F6A">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b/>
          <w:bCs/>
          <w:color w:val="000000"/>
          <w:sz w:val="20"/>
          <w:szCs w:val="20"/>
        </w:rPr>
        <w:t>Observación 7 — Pantalla táctil de control</w:t>
      </w:r>
    </w:p>
    <w:p w14:paraId="1126B233" w14:textId="77777777" w:rsidR="00BE6367" w:rsidRDefault="00C90F6A">
      <w:pPr>
        <w:numPr>
          <w:ilvl w:val="0"/>
          <w:numId w:val="60"/>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Texto actual:</w:t>
      </w:r>
      <w:r>
        <w:rPr>
          <w:rFonts w:ascii="Arial" w:eastAsia="Arial" w:hAnsi="Arial" w:cs="Arial"/>
          <w:color w:val="000000"/>
          <w:sz w:val="20"/>
          <w:szCs w:val="20"/>
        </w:rPr>
        <w:t xml:space="preserve"> "Deberá contar mínimo con Pantalla táctil de control IP compatible."</w:t>
      </w:r>
    </w:p>
    <w:p w14:paraId="148F03CE" w14:textId="77777777" w:rsidR="00BE6367" w:rsidRDefault="00C90F6A">
      <w:pPr>
        <w:numPr>
          <w:ilvl w:val="0"/>
          <w:numId w:val="60"/>
        </w:num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i/>
          <w:iCs/>
          <w:color w:val="000000"/>
          <w:sz w:val="20"/>
          <w:szCs w:val="20"/>
        </w:rPr>
        <w:t>Redacción propuesta:</w:t>
      </w:r>
      <w:r>
        <w:rPr>
          <w:rFonts w:ascii="Arial" w:eastAsia="Arial" w:hAnsi="Arial" w:cs="Arial"/>
          <w:color w:val="000000"/>
          <w:sz w:val="20"/>
          <w:szCs w:val="20"/>
        </w:rPr>
        <w:t>"Deberá incluir pantalla táctil de control del mismo fabricante, de mínimo 8 pulgadas, con conexión IP.</w:t>
      </w:r>
    </w:p>
    <w:p w14:paraId="4D91AEEE" w14:textId="77777777" w:rsidR="00BE6367" w:rsidRDefault="00C90F6A">
      <w:pPr>
        <w:jc w:val="both"/>
        <w:rPr>
          <w:rFonts w:ascii="Arial" w:eastAsia="Arial" w:hAnsi="Arial" w:cs="Arial"/>
          <w:sz w:val="20"/>
          <w:szCs w:val="20"/>
        </w:rPr>
      </w:pPr>
      <w:r>
        <w:rPr>
          <w:rFonts w:ascii="Arial" w:eastAsia="Arial" w:hAnsi="Arial" w:cs="Arial"/>
          <w:b/>
          <w:bCs/>
          <w:sz w:val="20"/>
          <w:szCs w:val="20"/>
        </w:rPr>
        <w:t xml:space="preserve">RESPUESTA A OBSERVACIÓN: </w:t>
      </w:r>
      <w:r>
        <w:rPr>
          <w:rFonts w:ascii="Arial" w:eastAsia="Arial" w:hAnsi="Arial" w:cs="Arial"/>
          <w:sz w:val="20"/>
          <w:szCs w:val="20"/>
        </w:rPr>
        <w:t>Se acepta la observación</w:t>
      </w:r>
      <w:r>
        <w:rPr>
          <w:rFonts w:ascii="Arial" w:eastAsia="Arial" w:hAnsi="Arial" w:cs="Arial"/>
          <w:b/>
          <w:bCs/>
          <w:sz w:val="20"/>
          <w:szCs w:val="20"/>
        </w:rPr>
        <w:t>.</w:t>
      </w:r>
      <w:r>
        <w:rPr>
          <w:rFonts w:ascii="Arial" w:eastAsia="Arial" w:hAnsi="Arial" w:cs="Arial"/>
          <w:sz w:val="20"/>
          <w:szCs w:val="20"/>
        </w:rPr>
        <w:t xml:space="preserve"> Le asiste razón al observante en que la característica, tal como está redactada, resulta ambigua respecto del alcance del requisito. Se precisa la redacción para garantizar una experiencia de operación uniforme en los sesenta (60) espacios y la unidad de soporte y garantía de la solución.</w:t>
      </w:r>
    </w:p>
    <w:p w14:paraId="68F0CA08" w14:textId="77777777" w:rsidR="00BE6367" w:rsidRDefault="00C90F6A">
      <w:pPr>
        <w:spacing w:before="240" w:after="240" w:line="240" w:lineRule="auto"/>
        <w:jc w:val="both"/>
        <w:rPr>
          <w:rFonts w:ascii="Arial" w:eastAsia="Arial" w:hAnsi="Arial" w:cs="Arial"/>
          <w:i/>
          <w:iCs/>
          <w:sz w:val="20"/>
          <w:szCs w:val="20"/>
        </w:rPr>
      </w:pPr>
      <w:r>
        <w:rPr>
          <w:rFonts w:ascii="Arial" w:eastAsia="Arial" w:hAnsi="Arial" w:cs="Arial"/>
          <w:b/>
          <w:bCs/>
          <w:sz w:val="20"/>
          <w:szCs w:val="20"/>
        </w:rPr>
        <w:t>La característica quedará así:</w:t>
      </w:r>
      <w:r>
        <w:rPr>
          <w:rFonts w:ascii="Arial" w:eastAsia="Arial" w:hAnsi="Arial" w:cs="Arial"/>
          <w:sz w:val="20"/>
          <w:szCs w:val="20"/>
        </w:rPr>
        <w:t xml:space="preserve"> </w:t>
      </w:r>
      <w:r>
        <w:rPr>
          <w:rFonts w:ascii="Arial" w:eastAsia="Arial" w:hAnsi="Arial" w:cs="Arial"/>
          <w:i/>
          <w:iCs/>
          <w:sz w:val="20"/>
          <w:szCs w:val="20"/>
        </w:rPr>
        <w:t>"Deberá incluir pantalla táctil de control del mismo fabricante de la barra, de mínimo 8 pulgadas, con conexión IP y alimentación PoE, integrada nativamente a la solución para la gestión de reuniones con un toque."</w:t>
      </w:r>
    </w:p>
    <w:p w14:paraId="7883927C" w14:textId="77777777" w:rsidR="00BE6367" w:rsidRDefault="00BE6367">
      <w:pPr>
        <w:jc w:val="both"/>
        <w:rPr>
          <w:rFonts w:ascii="Arial" w:eastAsia="Arial" w:hAnsi="Arial" w:cs="Arial"/>
          <w:b/>
          <w:bCs/>
          <w:sz w:val="20"/>
          <w:szCs w:val="20"/>
        </w:rPr>
      </w:pPr>
    </w:p>
    <w:p w14:paraId="6A97895E"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ITEM: MICRÓFONO ALTAVOZ PROFESIONAL</w:t>
      </w:r>
    </w:p>
    <w:p w14:paraId="527DD1C2" w14:textId="77777777" w:rsidR="00BE6367" w:rsidRDefault="00C90F6A">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color w:val="000000"/>
          <w:sz w:val="20"/>
          <w:szCs w:val="20"/>
        </w:rPr>
        <w:t>Enviamos las siguientes observaciones técnicas relacionadas con el item “MICRÓFONO ALTAVOZ PROFESIONAL”</w:t>
      </w:r>
    </w:p>
    <w:p w14:paraId="3FE4EDEC" w14:textId="77777777" w:rsidR="00BE6367" w:rsidRDefault="00C90F6A">
      <w:pPr>
        <w:spacing w:before="280" w:after="280"/>
        <w:jc w:val="both"/>
        <w:rPr>
          <w:rFonts w:ascii="Arial" w:eastAsia="Arial" w:hAnsi="Arial" w:cs="Arial"/>
          <w:sz w:val="20"/>
          <w:szCs w:val="20"/>
        </w:rPr>
      </w:pPr>
      <w:r>
        <w:rPr>
          <w:rFonts w:ascii="Arial" w:eastAsia="Arial" w:hAnsi="Arial" w:cs="Arial"/>
          <w:b/>
          <w:bCs/>
          <w:sz w:val="20"/>
          <w:szCs w:val="20"/>
        </w:rPr>
        <w:t>Observación 9 — Reformulación del objeto</w:t>
      </w:r>
    </w:p>
    <w:p w14:paraId="4C884688" w14:textId="77777777" w:rsidR="00BE6367" w:rsidRDefault="00C90F6A">
      <w:pPr>
        <w:numPr>
          <w:ilvl w:val="0"/>
          <w:numId w:val="61"/>
        </w:numPr>
        <w:spacing w:before="280" w:after="0" w:line="240" w:lineRule="auto"/>
        <w:jc w:val="both"/>
        <w:rPr>
          <w:rFonts w:ascii="Arial" w:eastAsia="Arial" w:hAnsi="Arial" w:cs="Arial"/>
        </w:rPr>
      </w:pPr>
      <w:r>
        <w:rPr>
          <w:rFonts w:ascii="Arial" w:eastAsia="Arial" w:hAnsi="Arial" w:cs="Arial"/>
          <w:i/>
          <w:iCs/>
          <w:sz w:val="20"/>
          <w:szCs w:val="20"/>
        </w:rPr>
        <w:t>Texto actual:</w:t>
      </w:r>
      <w:r>
        <w:rPr>
          <w:rFonts w:ascii="Arial" w:eastAsia="Arial" w:hAnsi="Arial" w:cs="Arial"/>
          <w:sz w:val="20"/>
          <w:szCs w:val="20"/>
        </w:rPr>
        <w:t xml:space="preserve"> Altavoz con micrófono tipo conferencia, dimensiones no superiores a 136 × 55 mm, mínimo 4 micrófonos, altavoz de diámetro mínimo 60 mm, conexión Cat6/RJ45 con adaptador RJ45 a USB-C, cable USB de 0,5 m, IPX2.</w:t>
      </w:r>
    </w:p>
    <w:p w14:paraId="2306BA68" w14:textId="77777777" w:rsidR="00BE6367" w:rsidRDefault="00C90F6A">
      <w:pPr>
        <w:numPr>
          <w:ilvl w:val="0"/>
          <w:numId w:val="61"/>
        </w:numPr>
        <w:spacing w:after="0" w:line="240" w:lineRule="auto"/>
        <w:jc w:val="both"/>
        <w:rPr>
          <w:rFonts w:ascii="Calibri" w:eastAsia="Calibri" w:hAnsi="Calibri" w:cs="Calibri"/>
        </w:rPr>
      </w:pPr>
      <w:r>
        <w:rPr>
          <w:rFonts w:ascii="Arial" w:eastAsia="Arial" w:hAnsi="Arial" w:cs="Arial"/>
          <w:i/>
          <w:iCs/>
          <w:sz w:val="20"/>
          <w:szCs w:val="20"/>
        </w:rPr>
        <w:t>Justificación:</w:t>
      </w:r>
      <w:r>
        <w:rPr>
          <w:rFonts w:ascii="Arial" w:eastAsia="Arial" w:hAnsi="Arial" w:cs="Arial"/>
          <w:sz w:val="20"/>
          <w:szCs w:val="20"/>
        </w:rPr>
        <w:t xml:space="preserve"> La ficha describe, dimensión por dimensión y accesorio por accesorio (incluido el adaptador RJ45–USB-C), el accesorio propietario de un único fabricante. La necesidad funcional real —expresamente descrita en la arquitectura de la solución— es </w:t>
      </w:r>
      <w:r>
        <w:rPr>
          <w:rFonts w:ascii="Arial" w:eastAsia="Arial" w:hAnsi="Arial" w:cs="Arial"/>
          <w:b/>
          <w:bCs/>
          <w:sz w:val="20"/>
          <w:szCs w:val="20"/>
        </w:rPr>
        <w:t>extender la cobertura de captación y reproducción de audio hacia el fondo de la sala</w:t>
      </w:r>
      <w:r>
        <w:rPr>
          <w:rFonts w:ascii="Arial" w:eastAsia="Arial" w:hAnsi="Arial" w:cs="Arial"/>
          <w:sz w:val="20"/>
          <w:szCs w:val="20"/>
        </w:rPr>
        <w:t>. Cada fabricante resuelve esa necesidad con arquitecturas distintas e igualmente válidas: altavoces-micrófono de mesa, micrófonos de expansión alámbricos o inalámbricos, o microfonía y parlantería de techo, todas con mezcla nativa con la barra. Fijar el factor de forma de un accesorio propietario impide ofertar soluciones funcionalmente iguales o superiores (la microfonía de techo, por ejemplo, libera la mesa y evita manipulación del equipo en salas de audiencia con mobiliario fijo y cadena de custodia de equipos).</w:t>
      </w:r>
    </w:p>
    <w:p w14:paraId="5429E9F1" w14:textId="77777777" w:rsidR="00BE6367" w:rsidRDefault="00C90F6A">
      <w:pPr>
        <w:numPr>
          <w:ilvl w:val="0"/>
          <w:numId w:val="61"/>
        </w:numPr>
        <w:spacing w:after="280" w:line="240" w:lineRule="auto"/>
        <w:jc w:val="both"/>
        <w:rPr>
          <w:rFonts w:ascii="Calibri" w:eastAsia="Calibri" w:hAnsi="Calibri" w:cs="Calibri"/>
        </w:rPr>
      </w:pPr>
      <w:r>
        <w:rPr>
          <w:rFonts w:ascii="Arial" w:eastAsia="Arial" w:hAnsi="Arial" w:cs="Arial"/>
          <w:i/>
          <w:iCs/>
          <w:sz w:val="20"/>
          <w:szCs w:val="20"/>
        </w:rPr>
        <w:t>Redacción propuesta:</w:t>
      </w:r>
      <w:r>
        <w:rPr>
          <w:rFonts w:ascii="Arial" w:eastAsia="Arial" w:hAnsi="Arial" w:cs="Arial"/>
          <w:sz w:val="20"/>
          <w:szCs w:val="20"/>
        </w:rPr>
        <w:t xml:space="preserve"> "UNIDAD DE EXTENSIÓN DE AUDIO: por cada barra de videoconferencia se deberá suministrar una (1) unidad de extensión de audio </w:t>
      </w:r>
      <w:r>
        <w:rPr>
          <w:rFonts w:ascii="Arial" w:eastAsia="Arial" w:hAnsi="Arial" w:cs="Arial"/>
          <w:b/>
          <w:bCs/>
          <w:sz w:val="20"/>
          <w:szCs w:val="20"/>
        </w:rPr>
        <w:t>del mismo fabricante de la barra</w:t>
      </w:r>
      <w:r>
        <w:rPr>
          <w:rFonts w:ascii="Arial" w:eastAsia="Arial" w:hAnsi="Arial" w:cs="Arial"/>
          <w:sz w:val="20"/>
          <w:szCs w:val="20"/>
        </w:rPr>
        <w:t>, con integración y mezcla nativa certificada por dicho fabricante, en cualquiera de las siguientes arquitecturas: (a) altavoz-micrófono de extensión; (b) micrófono(s) de expansión alámbrico(s) o inalámbrico(s); o (c) micrófono de techo con altavoz asociado. La solución conjunta (barra + extensión) deberá garantizar cobertura total de captación de la sala.</w:t>
      </w:r>
    </w:p>
    <w:p w14:paraId="6700AB4C"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1FB88044"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Se acepta parcialmente la observación. En aplicación de los principios de libre concurrencia y selección objetiva (art. 5 Ley 1150 de 2007), la Entidad acoge la reformulación del objeto como "unidad de extensión de audio", eliminando las características dimensionales y de accesorios de conexión específicos (dimensiones exactas, diámetro de altavoz, tipo de adaptador y longitud de cable), y ajustando el requisito a criterios funcionales verificables.</w:t>
      </w:r>
    </w:p>
    <w:p w14:paraId="041D7BA3"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 xml:space="preserve">No se aceptan, sin embargo, las arquitecturas alternativas propuestas en los literales (b) y (c), por cuanto: (i) la necesidad de la Entidad comprende tanto la extensión de la captación como de la reproducción de audio en un mismo punto de la sala, función que no satisfacen los </w:t>
      </w:r>
      <w:r>
        <w:rPr>
          <w:rFonts w:ascii="Arial" w:eastAsia="Arial" w:hAnsi="Arial" w:cs="Arial"/>
          <w:sz w:val="20"/>
          <w:szCs w:val="20"/>
        </w:rPr>
        <w:lastRenderedPageBreak/>
        <w:t>micrófonos de expansión sin altavoz integrado; y (ii) los espacios de destino no contemplan intervenciones de infraestructura, por lo que se requiere una unidad de instalación libre sobre mesa, sin obras civiles, cableado permanente ni elementos de amplificación adicionales, que además permita su reubicación ante eventuales reorganizaciones de los espacios.</w:t>
      </w:r>
    </w:p>
    <w:p w14:paraId="7A1CC1E7"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La Entidad precisa que la exigencia de que la unidad de extensión corresponda al mismo fabricante de la barra de videoconferencia, con mezcla de sonido nativa certificada por dicho fabricante, obedece a que dicha integración depende de protocolos propietarios de procesamiento y sincronización de audio entre múltiples fuentes de captación (cancelación de eco acústico compartida entre la barra y su extensión), que usualmente no son interoperables entre fabricantes distintos sin una certificación específica. No obstante, el proponente podrá ofertar una solución de fabricante distinto al de la barra principal, siempre que acredite, mediante certificación o ficha técnica del fabricante, su plena compatibilidad e interoperabilidad de mezcla nativa de audio con la barra de videoconferencia ofertada.</w:t>
      </w:r>
    </w:p>
    <w:p w14:paraId="3C47A2C5" w14:textId="77777777" w:rsidR="00BE6367" w:rsidRDefault="00C90F6A">
      <w:pPr>
        <w:spacing w:before="240" w:after="240" w:line="240" w:lineRule="auto"/>
        <w:jc w:val="both"/>
        <w:rPr>
          <w:rFonts w:ascii="Arial" w:eastAsia="Arial" w:hAnsi="Arial" w:cs="Arial"/>
          <w:i/>
          <w:iCs/>
          <w:sz w:val="20"/>
          <w:szCs w:val="20"/>
        </w:rPr>
      </w:pPr>
      <w:r>
        <w:rPr>
          <w:rFonts w:ascii="Arial" w:eastAsia="Arial" w:hAnsi="Arial" w:cs="Arial"/>
          <w:sz w:val="20"/>
          <w:szCs w:val="20"/>
        </w:rPr>
        <w:t xml:space="preserve">La característica quedará así: </w:t>
      </w:r>
      <w:r>
        <w:rPr>
          <w:rFonts w:ascii="Arial" w:eastAsia="Arial" w:hAnsi="Arial" w:cs="Arial"/>
          <w:i/>
          <w:iCs/>
          <w:sz w:val="20"/>
          <w:szCs w:val="20"/>
        </w:rPr>
        <w:t>"UNIDAD DE EXTENSIÓN DE AUDIO: por cada barra de videoconferencia se deberá suministrar una (1) unidad de extensión de audio del mismo fabricante de la barra, o de un fabricante distinto cuya compatibilidad e interoperabilidad de mezcla nativa de audio con la barra sea certificada por el fabricante correspondiente, que integre en un único dispositivo la captación (mínimo cuatro (4) micrófonos omnidireccionales con reducción de ruido) y la reproducción (altavoz integrado), de instalación libre sobre mesa mediante conexión por cable único, sin obras civiles ni cableado permanente. La solución conjunta (barra + unidad de extensión) deberá garantizar cobertura total de captación y reproducción de la sala, con alcance combinado mínimo de 10 metros."</w:t>
      </w:r>
    </w:p>
    <w:p w14:paraId="233C301E" w14:textId="77777777" w:rsidR="00BE6367" w:rsidRDefault="00BE6367">
      <w:pPr>
        <w:pBdr>
          <w:top w:val="nil"/>
          <w:left w:val="nil"/>
          <w:bottom w:val="nil"/>
          <w:right w:val="nil"/>
          <w:between w:val="nil"/>
        </w:pBdr>
        <w:spacing w:line="240" w:lineRule="auto"/>
        <w:jc w:val="both"/>
        <w:rPr>
          <w:rFonts w:ascii="Arial" w:eastAsia="Arial" w:hAnsi="Arial" w:cs="Arial"/>
          <w:sz w:val="20"/>
          <w:szCs w:val="20"/>
        </w:rPr>
      </w:pPr>
    </w:p>
    <w:p w14:paraId="570EAC7D" w14:textId="77777777" w:rsidR="00BE6367" w:rsidRDefault="00C90F6A">
      <w:pPr>
        <w:pBdr>
          <w:top w:val="nil"/>
          <w:left w:val="nil"/>
          <w:bottom w:val="nil"/>
          <w:right w:val="nil"/>
          <w:between w:val="nil"/>
        </w:pBdr>
        <w:spacing w:line="240" w:lineRule="auto"/>
        <w:jc w:val="both"/>
        <w:rPr>
          <w:rFonts w:ascii="Arial" w:eastAsia="Arial" w:hAnsi="Arial" w:cs="Arial"/>
          <w:b/>
          <w:bCs/>
          <w:color w:val="000000"/>
          <w:sz w:val="20"/>
          <w:szCs w:val="20"/>
        </w:rPr>
      </w:pPr>
      <w:r>
        <w:rPr>
          <w:rFonts w:ascii="Arial" w:eastAsia="Arial" w:hAnsi="Arial" w:cs="Arial"/>
          <w:b/>
          <w:bCs/>
          <w:color w:val="000000"/>
          <w:sz w:val="20"/>
          <w:szCs w:val="20"/>
        </w:rPr>
        <w:t xml:space="preserve">Observación 10 — Características dimensionales y de protección </w:t>
      </w:r>
    </w:p>
    <w:p w14:paraId="68FC1D16" w14:textId="77777777" w:rsidR="00BE6367" w:rsidRDefault="00C90F6A">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i/>
          <w:iCs/>
          <w:color w:val="000000"/>
          <w:sz w:val="20"/>
          <w:szCs w:val="20"/>
        </w:rPr>
        <w:t>Solicitud:</w:t>
      </w:r>
      <w:r>
        <w:rPr>
          <w:rFonts w:ascii="Arial" w:eastAsia="Arial" w:hAnsi="Arial" w:cs="Arial"/>
          <w:color w:val="000000"/>
          <w:sz w:val="20"/>
          <w:szCs w:val="20"/>
        </w:rPr>
        <w:t xml:space="preserve"> Eliminar los topes dimensionales (136 mm × 55 mm), el diámetro mínimo del altavoz (60 mm) y la clasificación IPX2, por carecer de incidencia funcional en un dispositivo de uso en interiores; sustituir por: "El dispositivo deberá contar con mínimo cuatro (4) micrófonos con captación omnidireccional o beamforming, reproducción de voz de alta inteligibilidad y conexión alámbrica o inalámbrica soportada nativamente por el fabricante de la barra."</w:t>
      </w:r>
    </w:p>
    <w:p w14:paraId="2AF4C17D" w14:textId="77777777" w:rsidR="00BE6367" w:rsidRDefault="00BE6367">
      <w:pPr>
        <w:pBdr>
          <w:top w:val="nil"/>
          <w:left w:val="nil"/>
          <w:bottom w:val="nil"/>
          <w:right w:val="nil"/>
          <w:between w:val="nil"/>
        </w:pBdr>
        <w:spacing w:line="240" w:lineRule="auto"/>
        <w:jc w:val="both"/>
        <w:rPr>
          <w:rFonts w:ascii="Arial" w:eastAsia="Arial" w:hAnsi="Arial" w:cs="Arial"/>
          <w:sz w:val="20"/>
          <w:szCs w:val="20"/>
        </w:rPr>
      </w:pPr>
    </w:p>
    <w:p w14:paraId="0AAFB2DA" w14:textId="77777777" w:rsidR="00BE6367" w:rsidRDefault="00BE6367">
      <w:pPr>
        <w:pBdr>
          <w:top w:val="nil"/>
          <w:left w:val="nil"/>
          <w:bottom w:val="nil"/>
          <w:right w:val="nil"/>
          <w:between w:val="nil"/>
        </w:pBdr>
        <w:spacing w:line="240" w:lineRule="auto"/>
        <w:jc w:val="both"/>
        <w:rPr>
          <w:rFonts w:ascii="Arial" w:eastAsia="Arial" w:hAnsi="Arial" w:cs="Arial"/>
          <w:sz w:val="20"/>
          <w:szCs w:val="20"/>
        </w:rPr>
      </w:pPr>
    </w:p>
    <w:p w14:paraId="116D11E4"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20541040"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Se acepta parcialmente la observación. En aplicación de los principios de libre concurrencia y selección objetiva (art. 5 Ley 1150 de 2007), la Entidad acoge la reformulación del objeto como "unidad de extensión de audio", eliminando las características dimensionales y de accesorios de conexión específicos (dimensiones exactas, diámetro de altavoz, tipo de adaptador y longitud de cable), y ajustando el requisito a criterios funcionales verificables.</w:t>
      </w:r>
    </w:p>
    <w:p w14:paraId="54003879"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No se aceptan, sin embargo, las arquitecturas alternativas propuestas en los literales (b) y (c), por cuanto: (i) la necesidad de la Entidad comprende tanto la extensión de la captación como de la reproducción de audio en un mismo punto de la sala, función que no satisfacen los micrófonos de expansión sin altavoz integrado; y (ii) los espacios de destino no contemplan intervenciones de infraestructura, por lo que se requiere una unidad de instalación libre sobre mesa, sin obras civiles, cableado permanente ni elementos de amplificación adicionales, que además permita su reubicación ante eventuales reorganizaciones de los espacios.</w:t>
      </w:r>
    </w:p>
    <w:p w14:paraId="27834FE7"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 xml:space="preserve">La Entidad precisa que la exigencia de que la unidad de extensión corresponda al mismo fabricante de la barra de videoconferencia, con mezcla de sonido nativa certificada por dicho fabricante, obedece a que dicha integración depende de protocolos propietarios de procesamiento y sincronización de audio entre múltiples fuentes de captación (cancelación de eco acústico compartida entre la barra y su extensión), que usualmente no son interoperables entre fabricantes distintos sin una certificación específica. No obstante, el proponente podrá ofertar una solución de fabricante distinto al de la barra principal, siempre que acredite, </w:t>
      </w:r>
      <w:r>
        <w:rPr>
          <w:rFonts w:ascii="Arial" w:eastAsia="Arial" w:hAnsi="Arial" w:cs="Arial"/>
          <w:sz w:val="20"/>
          <w:szCs w:val="20"/>
        </w:rPr>
        <w:lastRenderedPageBreak/>
        <w:t>mediante certificación o ficha técnica del fabricante, su plena compatibilidad e interoperabilidad de mezcla nativa de audio con la barra de videoconferencia ofertada.</w:t>
      </w:r>
    </w:p>
    <w:p w14:paraId="739D1181" w14:textId="77777777" w:rsidR="00BE6367" w:rsidRDefault="00C90F6A">
      <w:pPr>
        <w:spacing w:before="240" w:after="240" w:line="240" w:lineRule="auto"/>
        <w:jc w:val="both"/>
        <w:rPr>
          <w:rFonts w:ascii="Arial" w:eastAsia="Arial" w:hAnsi="Arial" w:cs="Arial"/>
          <w:i/>
          <w:iCs/>
          <w:sz w:val="20"/>
          <w:szCs w:val="20"/>
        </w:rPr>
      </w:pPr>
      <w:r>
        <w:rPr>
          <w:rFonts w:ascii="Arial" w:eastAsia="Arial" w:hAnsi="Arial" w:cs="Arial"/>
          <w:sz w:val="20"/>
          <w:szCs w:val="20"/>
        </w:rPr>
        <w:t xml:space="preserve">La característica quedará así: </w:t>
      </w:r>
      <w:r>
        <w:rPr>
          <w:rFonts w:ascii="Arial" w:eastAsia="Arial" w:hAnsi="Arial" w:cs="Arial"/>
          <w:i/>
          <w:iCs/>
          <w:sz w:val="20"/>
          <w:szCs w:val="20"/>
        </w:rPr>
        <w:t>"UNIDAD DE EXTENSIÓN DE AUDIO: por cada barra de videoconferencia se deberá suministrar una (1) unidad de extensión de audio del mismo fabricante de la barra, o de un fabricante distinto cuya compatibilidad e interoperabilidad de mezcla nativa de audio con la barra sea certificada por el fabricante correspondiente, que integre en un único dispositivo la captación (mínimo cuatro (4) micrófonos omnidireccionales con reducción de ruido) y la reproducción (altavoz integrado), de instalación libre sobre mesa mediante conexión por cable único, sin obras civiles ni cableado permanente. La solución conjunta (barra + unidad de extensión) deberá garantizar cobertura total de captación y reproducción de la sala, con alcance combinado mínimo de 10 metros."</w:t>
      </w:r>
    </w:p>
    <w:p w14:paraId="6BB571BB" w14:textId="77777777" w:rsidR="00BE6367" w:rsidRDefault="00BE6367">
      <w:pPr>
        <w:spacing w:line="240" w:lineRule="auto"/>
        <w:jc w:val="both"/>
        <w:rPr>
          <w:rFonts w:ascii="Arial" w:eastAsia="Arial" w:hAnsi="Arial" w:cs="Arial"/>
          <w:sz w:val="20"/>
          <w:szCs w:val="20"/>
        </w:rPr>
      </w:pPr>
    </w:p>
    <w:p w14:paraId="2AD8F41E" w14:textId="77777777" w:rsidR="00BE6367" w:rsidRDefault="00C90F6A">
      <w:pPr>
        <w:spacing w:line="240" w:lineRule="auto"/>
        <w:jc w:val="both"/>
        <w:rPr>
          <w:rFonts w:ascii="Arial" w:eastAsia="Arial" w:hAnsi="Arial" w:cs="Arial"/>
          <w:b/>
          <w:bCs/>
          <w:sz w:val="20"/>
          <w:szCs w:val="20"/>
        </w:rPr>
      </w:pPr>
      <w:r>
        <w:rPr>
          <w:rFonts w:ascii="Arial" w:eastAsia="Arial" w:hAnsi="Arial" w:cs="Arial"/>
          <w:b/>
          <w:bCs/>
          <w:sz w:val="20"/>
          <w:szCs w:val="20"/>
        </w:rPr>
        <w:t xml:space="preserve">Observación 10 — Características dimensionales y de protección </w:t>
      </w:r>
    </w:p>
    <w:p w14:paraId="6019ED00" w14:textId="77777777" w:rsidR="00BE6367" w:rsidRDefault="00C90F6A">
      <w:pPr>
        <w:spacing w:line="240" w:lineRule="auto"/>
        <w:jc w:val="both"/>
        <w:rPr>
          <w:rFonts w:ascii="Arial" w:eastAsia="Arial" w:hAnsi="Arial" w:cs="Arial"/>
          <w:sz w:val="20"/>
          <w:szCs w:val="20"/>
        </w:rPr>
      </w:pPr>
      <w:r>
        <w:rPr>
          <w:rFonts w:ascii="Arial" w:eastAsia="Arial" w:hAnsi="Arial" w:cs="Arial"/>
          <w:i/>
          <w:iCs/>
          <w:sz w:val="20"/>
          <w:szCs w:val="20"/>
        </w:rPr>
        <w:t>Solicitud:</w:t>
      </w:r>
      <w:r>
        <w:rPr>
          <w:rFonts w:ascii="Arial" w:eastAsia="Arial" w:hAnsi="Arial" w:cs="Arial"/>
          <w:sz w:val="20"/>
          <w:szCs w:val="20"/>
        </w:rPr>
        <w:t xml:space="preserve"> Eliminar los topes dimensionales (136 mm × 55 mm), el diámetro mínimo del altavoz (60 mm) y la clasificación IPX2, por carecer de incidencia funcional en un dispositivo de uso en interiores; sustituir por: "El dispositivo deberá contar con mínimo cuatro (4) micrófonos con captación omnidireccional o beamforming, reproducción de voz de alta inteligibilidad y conexión alámbrica o inalámbrica soportada nativamente por el fabricante de la barra."</w:t>
      </w:r>
    </w:p>
    <w:p w14:paraId="5DA60B7D"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4613A93B"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Se acepta parcialmente la observación, en términos coherentes con lo ya definido por la Entidad en la respuesta a la observación relativa a la unidad de extensión de audio. En consecuencia:</w:t>
      </w:r>
    </w:p>
    <w:p w14:paraId="7B5008B5"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Se eliminan los topes dimensionales (136×55 mm) y el diámetro mínimo del altavoz (60 mm), en línea con el ajuste ya incorporado a la característica de la unidad de extensión de audio, la cual se redefine en términos funcionales y no de configuración física exacta.</w:t>
      </w:r>
    </w:p>
    <w:p w14:paraId="486B0482"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Se amplía la tecnología de captación admisible, aceptando micrófonos con captación omnidireccional o beamforming, sin que ello modifique la exigencia ya establecida de mínimo cuatro (4) micrófonos con reducción de ruido.</w:t>
      </w:r>
    </w:p>
    <w:p w14:paraId="4C98D9B3"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No se acepta admitir conexión inalámbrica como alternativa a la conexión alámbrica. La Entidad mantiene la exigencia de conexión por cable único ya prevista, por cuanto dicha conexión garantiza la estabilidad, confiabilidad y ausencia de interferencia en la transmisión de audio entre la barra y su unidad de extensión.</w:t>
      </w:r>
    </w:p>
    <w:p w14:paraId="1EE48624"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No se acepta la eliminación de la clasificación de protección IPX2. La Entidad mantiene este requisito, por cuanto dicha clasificación contribuye a la protección del equipo frente a la exposición ordinaria a líquidos (goteo, derrames accidentales de bebidas u otros elementos propios del uso cotidiano en salas de reunión y audiencia), preservando así su adecuado funcionamiento y vida útil durante el tiempo de garantía y operación previsto para el presente proceso.</w:t>
      </w:r>
    </w:p>
    <w:p w14:paraId="3FFACBF3" w14:textId="77777777" w:rsidR="00BE6367" w:rsidRDefault="00C90F6A">
      <w:pPr>
        <w:spacing w:before="240" w:after="240" w:line="240" w:lineRule="auto"/>
        <w:jc w:val="both"/>
        <w:rPr>
          <w:rFonts w:ascii="Arial" w:eastAsia="Arial" w:hAnsi="Arial" w:cs="Arial"/>
          <w:sz w:val="20"/>
          <w:szCs w:val="20"/>
        </w:rPr>
      </w:pPr>
      <w:r>
        <w:rPr>
          <w:rFonts w:ascii="Arial" w:eastAsia="Arial" w:hAnsi="Arial" w:cs="Arial"/>
          <w:sz w:val="20"/>
          <w:szCs w:val="20"/>
        </w:rPr>
        <w:t>Se mantiene la exigencia de que la unidad de extensión integre en un único dispositivo tanto la captación como la reproducción de audio (altavoz integrado), por corresponder a una necesidad funcional ya sustentada por la Entidad, de manera que la característica de "reproducción de voz de alta inteligibilidad" propuesta se entenderá referida a las prestaciones de dicho altavoz integrado, y no como una alternativa que permita prescindir de este.</w:t>
      </w:r>
    </w:p>
    <w:p w14:paraId="136EFDF3" w14:textId="77777777" w:rsidR="00BE6367" w:rsidRDefault="00C90F6A">
      <w:pPr>
        <w:spacing w:before="240" w:after="240" w:line="240" w:lineRule="auto"/>
        <w:jc w:val="both"/>
        <w:rPr>
          <w:rFonts w:ascii="Arial" w:eastAsia="Arial" w:hAnsi="Arial" w:cs="Arial"/>
          <w:b/>
          <w:bCs/>
          <w:sz w:val="20"/>
          <w:szCs w:val="20"/>
        </w:rPr>
      </w:pPr>
      <w:r>
        <w:rPr>
          <w:rFonts w:ascii="Arial" w:eastAsia="Arial" w:hAnsi="Arial" w:cs="Arial"/>
          <w:sz w:val="20"/>
          <w:szCs w:val="20"/>
        </w:rPr>
        <w:t xml:space="preserve">La característica quedará así: </w:t>
      </w:r>
      <w:r>
        <w:rPr>
          <w:rFonts w:ascii="Arial" w:eastAsia="Arial" w:hAnsi="Arial" w:cs="Arial"/>
          <w:i/>
          <w:iCs/>
          <w:sz w:val="20"/>
          <w:szCs w:val="20"/>
        </w:rPr>
        <w:t xml:space="preserve">"UNIDAD DE EXTENSIÓN DE AUDIO: por cada barra de videoconferencia se deberá suministrar una (1) unidad de extensión de audio del mismo fabricante de la barra, o de un fabricante distinto cuya compatibilidad e interoperabilidad de mezcla nativa de audio con la barra sea certificada por el fabricante correspondiente, que integre en un único dispositivo la captación (mínimo cuatro (4) micrófonos con captación omnidireccional o beamforming, con reducción de ruido) y la reproducción (altavoz integrado, de alta inteligibilidad de voz), de instalación libre sobre mesa mediante conexión por cable único, sin obras civiles ni cableado permanente, con clasificación de protección mínima IPX2. </w:t>
      </w:r>
      <w:r>
        <w:rPr>
          <w:rFonts w:ascii="Arial" w:eastAsia="Arial" w:hAnsi="Arial" w:cs="Arial"/>
          <w:i/>
          <w:iCs/>
          <w:sz w:val="20"/>
          <w:szCs w:val="20"/>
        </w:rPr>
        <w:lastRenderedPageBreak/>
        <w:t>La solución conjunta (barra + unidad de extensión) deberá garantizar cobertura total de captación y reproducción de la sala, con alcance combinado mínimo de 10 metros."</w:t>
      </w:r>
    </w:p>
    <w:p w14:paraId="2411107F" w14:textId="77777777" w:rsidR="00BE6367" w:rsidRPr="00AA7016" w:rsidRDefault="00C90F6A">
      <w:pPr>
        <w:jc w:val="both"/>
        <w:rPr>
          <w:rFonts w:ascii="Arial" w:eastAsia="Arial" w:hAnsi="Arial" w:cs="Arial"/>
          <w:b/>
          <w:bCs/>
          <w:sz w:val="20"/>
          <w:szCs w:val="20"/>
          <w:lang w:val="pt-PT"/>
        </w:rPr>
      </w:pPr>
      <w:r w:rsidRPr="00AA7016">
        <w:rPr>
          <w:rFonts w:ascii="Arial" w:eastAsia="Arial" w:hAnsi="Arial" w:cs="Arial"/>
          <w:b/>
          <w:bCs/>
          <w:sz w:val="20"/>
          <w:szCs w:val="20"/>
          <w:lang w:val="pt-PT"/>
        </w:rPr>
        <w:t>ITEM: COMPUTADOR DE ESCRITORIO - AIO AVANZADO</w:t>
      </w:r>
    </w:p>
    <w:p w14:paraId="3DB29AF9"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11– COMPUTADOR DE ESCRITORIO - AIO AVANZADO (Memoria RAM):</w:t>
      </w:r>
    </w:p>
    <w:p w14:paraId="07F01D33"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Respecto al requerimiento que establece </w:t>
      </w:r>
      <w:r>
        <w:rPr>
          <w:rFonts w:ascii="Arial" w:eastAsia="Arial" w:hAnsi="Arial" w:cs="Arial"/>
          <w:b/>
          <w:bCs/>
          <w:sz w:val="20"/>
          <w:szCs w:val="20"/>
        </w:rPr>
        <w:t>"Memoria RAM 16 GB DDR5, mínimo 6400 MT/s con capacidad de expansión a 64 GB"</w:t>
      </w:r>
      <w:r>
        <w:rPr>
          <w:rFonts w:ascii="Arial" w:eastAsia="Arial" w:hAnsi="Arial" w:cs="Arial"/>
          <w:sz w:val="20"/>
          <w:szCs w:val="20"/>
        </w:rPr>
        <w:t>, se solicita a la entidad validar si es posible considerar velocidades de memoria inferiores, como 5200 MT/s, teniendo en cuenta que esta frecuencia corresponde a una configuración ampliamente utilizada en equipos corporativos de última generación y mantiene adecuados niveles de rendimiento y estabilidad.</w:t>
      </w:r>
    </w:p>
    <w:p w14:paraId="219CDFBB" w14:textId="77777777" w:rsidR="00BE6367" w:rsidRDefault="00C90F6A">
      <w:pPr>
        <w:jc w:val="both"/>
        <w:rPr>
          <w:rFonts w:ascii="Arial" w:eastAsia="Arial" w:hAnsi="Arial" w:cs="Arial"/>
          <w:sz w:val="20"/>
          <w:szCs w:val="20"/>
        </w:rPr>
      </w:pPr>
      <w:r>
        <w:rPr>
          <w:rFonts w:ascii="Arial" w:eastAsia="Arial" w:hAnsi="Arial" w:cs="Arial"/>
          <w:sz w:val="20"/>
          <w:szCs w:val="20"/>
        </w:rPr>
        <w:t>Lo anterior permitiría una mayor participación de fabricantes y referencias disponibles en el mercado, sin afectar la capacidad de expansión ni el desempeño requerido para la solución.</w:t>
      </w:r>
    </w:p>
    <w:p w14:paraId="1A3FD73C"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1E30EB85" w14:textId="77777777" w:rsidR="00BE6367" w:rsidRDefault="00C90F6A">
      <w:pPr>
        <w:jc w:val="both"/>
        <w:rPr>
          <w:rFonts w:ascii="Arial" w:eastAsia="Arial" w:hAnsi="Arial" w:cs="Arial"/>
          <w:sz w:val="20"/>
          <w:szCs w:val="20"/>
        </w:rPr>
      </w:pPr>
      <w:r>
        <w:rPr>
          <w:rFonts w:ascii="Arial" w:eastAsia="Arial" w:hAnsi="Arial" w:cs="Arial"/>
          <w:sz w:val="20"/>
          <w:szCs w:val="20"/>
        </w:rPr>
        <w:t>No se acoge la observación. La elección de memoria DDR5-6400 MT/s en los equipos All-in-One responde a un objetivo de largo plazo que garantiza un mayor ancho de banda frente a configuraciones de DDR5-5200 y DDR5-5600 MT/s. En términos técnicos, la velocidad de 6400 MT/s representa aproximadamente un 20% a 15% más de tasa de transferencia, lo que favorece el movimiento de datos entre CPU y memoria en cargas sensibles al subsistema de memoria.</w:t>
      </w:r>
    </w:p>
    <w:p w14:paraId="55C8152C" w14:textId="77777777" w:rsidR="00BE6367" w:rsidRDefault="00C90F6A">
      <w:pPr>
        <w:jc w:val="both"/>
        <w:rPr>
          <w:rFonts w:ascii="Arial" w:eastAsia="Arial" w:hAnsi="Arial" w:cs="Arial"/>
          <w:sz w:val="20"/>
          <w:szCs w:val="20"/>
        </w:rPr>
      </w:pPr>
      <w:r>
        <w:rPr>
          <w:rFonts w:ascii="Arial" w:eastAsia="Arial" w:hAnsi="Arial" w:cs="Arial"/>
          <w:sz w:val="20"/>
          <w:szCs w:val="20"/>
        </w:rPr>
        <w:t>En la práctica, este beneficio se refleja en escenarios de multitarea intensiva, colaboración con múltiples aplicaciones abiertas, videoconferencias, navegación exigente, analítica ligera y creación de contenido de oficina, donde una memoria más rápida contribuye a una mejor capacidad de respuesta del sistema.</w:t>
      </w:r>
    </w:p>
    <w:p w14:paraId="77E11A3D" w14:textId="77777777" w:rsidR="00BE6367" w:rsidRDefault="00C90F6A">
      <w:pPr>
        <w:jc w:val="both"/>
        <w:rPr>
          <w:rFonts w:ascii="Arial" w:eastAsia="Arial" w:hAnsi="Arial" w:cs="Arial"/>
          <w:sz w:val="20"/>
          <w:szCs w:val="20"/>
        </w:rPr>
      </w:pPr>
      <w:r>
        <w:rPr>
          <w:rFonts w:ascii="Arial" w:eastAsia="Arial" w:hAnsi="Arial" w:cs="Arial"/>
          <w:sz w:val="20"/>
          <w:szCs w:val="20"/>
        </w:rPr>
        <w:t>La velocidad de operación solicitada garantiza a la Entidad contar con la versión más actualizada disponible en el mercado, lo que brinda seguridad sobre la vigencia tecnológica y confiabilidad de la inversión en el tiempo.</w:t>
      </w:r>
    </w:p>
    <w:p w14:paraId="11B88D86" w14:textId="77777777" w:rsidR="00BE6367" w:rsidRDefault="00C90F6A">
      <w:pPr>
        <w:jc w:val="both"/>
        <w:rPr>
          <w:rFonts w:ascii="Arial" w:eastAsia="Arial" w:hAnsi="Arial" w:cs="Arial"/>
          <w:sz w:val="20"/>
          <w:szCs w:val="20"/>
        </w:rPr>
      </w:pPr>
      <w:r>
        <w:rPr>
          <w:rFonts w:ascii="Arial" w:eastAsia="Arial" w:hAnsi="Arial" w:cs="Arial"/>
          <w:sz w:val="20"/>
          <w:szCs w:val="20"/>
        </w:rPr>
        <w:t>En consecuencia, se mantiene el requisito de memoria RAM DDR5 de mínimo 6400 MT/s con capacidad de expansión a 64 GB, considerando que esta especificación corresponde al nivel de desempeño esperado para el perfil de equipo requerido y resulta acorde con las plataformas tecnológicas de última generación disponibles en este segmento.</w:t>
      </w:r>
    </w:p>
    <w:p w14:paraId="701A0ECA"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12-COMPUTADOR DE ESCRITORIO - AIO AVANZADO (Fuente de poder):</w:t>
      </w:r>
    </w:p>
    <w:p w14:paraId="32B655AB"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Se solicita a la entidad considerar que la certificación de la fuente de poder interna sea </w:t>
      </w:r>
      <w:r>
        <w:rPr>
          <w:rFonts w:ascii="Arial" w:eastAsia="Arial" w:hAnsi="Arial" w:cs="Arial"/>
          <w:b/>
          <w:bCs/>
          <w:sz w:val="20"/>
          <w:szCs w:val="20"/>
        </w:rPr>
        <w:t>mínimo 80 PLUS Gold</w:t>
      </w:r>
      <w:r>
        <w:rPr>
          <w:rFonts w:ascii="Arial" w:eastAsia="Arial" w:hAnsi="Arial" w:cs="Arial"/>
          <w:sz w:val="20"/>
          <w:szCs w:val="20"/>
        </w:rPr>
        <w:t xml:space="preserve">, manteniendo la potencia mínima requerida de </w:t>
      </w:r>
      <w:r>
        <w:rPr>
          <w:rFonts w:ascii="Arial" w:eastAsia="Arial" w:hAnsi="Arial" w:cs="Arial"/>
          <w:b/>
          <w:bCs/>
          <w:sz w:val="20"/>
          <w:szCs w:val="20"/>
        </w:rPr>
        <w:t>240 Watts</w:t>
      </w:r>
      <w:r>
        <w:rPr>
          <w:rFonts w:ascii="Arial" w:eastAsia="Arial" w:hAnsi="Arial" w:cs="Arial"/>
          <w:sz w:val="20"/>
          <w:szCs w:val="20"/>
        </w:rPr>
        <w:t>.</w:t>
      </w:r>
    </w:p>
    <w:p w14:paraId="18014562"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Lo anterior, teniendo en cuenta que la certificación </w:t>
      </w:r>
      <w:r>
        <w:rPr>
          <w:rFonts w:ascii="Arial" w:eastAsia="Arial" w:hAnsi="Arial" w:cs="Arial"/>
          <w:b/>
          <w:bCs/>
          <w:sz w:val="20"/>
          <w:szCs w:val="20"/>
        </w:rPr>
        <w:t>80 PLUS Gold</w:t>
      </w:r>
      <w:r>
        <w:rPr>
          <w:rFonts w:ascii="Arial" w:eastAsia="Arial" w:hAnsi="Arial" w:cs="Arial"/>
          <w:sz w:val="20"/>
          <w:szCs w:val="20"/>
        </w:rPr>
        <w:t xml:space="preserve"> proporciona altos estándares de eficiencia energética y confiabilidad para este tipo de equipos, satisfaciendo adecuadamente los requerimientos operativos de la solución. Esta modificación permitiría una mayor participación de soluciones disponibles en el mercado, sin afectar el desempeño ni la calidad esperada del equipo.</w:t>
      </w:r>
    </w:p>
    <w:p w14:paraId="03CF864A" w14:textId="77777777" w:rsidR="00BE6367" w:rsidRDefault="00C90F6A">
      <w:pPr>
        <w:jc w:val="both"/>
        <w:rPr>
          <w:rFonts w:ascii="Arial" w:eastAsia="Arial" w:hAnsi="Arial" w:cs="Arial"/>
          <w:sz w:val="20"/>
          <w:szCs w:val="20"/>
        </w:rPr>
      </w:pPr>
      <w:r>
        <w:rPr>
          <w:rFonts w:ascii="Arial" w:eastAsia="Arial" w:hAnsi="Arial" w:cs="Arial"/>
          <w:b/>
          <w:bCs/>
          <w:sz w:val="20"/>
          <w:szCs w:val="20"/>
        </w:rPr>
        <w:t xml:space="preserve">RESPUESTA A OBSERVACIÓN: </w:t>
      </w:r>
    </w:p>
    <w:p w14:paraId="4B5F7583"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No se acepta la observación, en virtud de que el requerimiento actual establece una potencia mínima de 240 W con certificación 80 PLUS Platinum, lo cual garantiza niveles superiores de eficiencia energética y desempeño. Esta especificación cumple con los parámetros de consumo y uso definidos por la Entidad, asegurando la fiabilidad y calidad necesarias para las operaciones previstas, por lo que no se considera pertinente modificar la exigencia establecida. </w:t>
      </w:r>
    </w:p>
    <w:p w14:paraId="282BF803" w14:textId="77777777" w:rsidR="00BE6367" w:rsidRDefault="00BE6367">
      <w:pPr>
        <w:jc w:val="both"/>
        <w:rPr>
          <w:rFonts w:ascii="Arial" w:eastAsia="Arial" w:hAnsi="Arial" w:cs="Arial"/>
          <w:sz w:val="20"/>
          <w:szCs w:val="20"/>
        </w:rPr>
      </w:pPr>
    </w:p>
    <w:p w14:paraId="39D64144" w14:textId="77777777" w:rsidR="00BE6367" w:rsidRDefault="00C90F6A">
      <w:pPr>
        <w:jc w:val="both"/>
        <w:rPr>
          <w:rFonts w:ascii="Arial" w:eastAsia="Arial" w:hAnsi="Arial" w:cs="Arial"/>
          <w:b/>
          <w:bCs/>
          <w:sz w:val="20"/>
          <w:szCs w:val="20"/>
        </w:rPr>
      </w:pPr>
      <w:r>
        <w:rPr>
          <w:rFonts w:ascii="Arial" w:eastAsia="Arial" w:hAnsi="Arial" w:cs="Arial"/>
          <w:b/>
          <w:bCs/>
          <w:sz w:val="20"/>
          <w:szCs w:val="20"/>
        </w:rPr>
        <w:lastRenderedPageBreak/>
        <w:t>Observación 13-COMPUTADOR DE ESCRITORIO - AIO AVANZADO y WORKSTATION (Garantía):</w:t>
      </w:r>
    </w:p>
    <w:p w14:paraId="6B928DB1"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Se solicita a la entidad aclarar el término de garantía exigido para los equipos, indicando si el periodo requerido corresponde a </w:t>
      </w:r>
      <w:r>
        <w:rPr>
          <w:rFonts w:ascii="Arial" w:eastAsia="Arial" w:hAnsi="Arial" w:cs="Arial"/>
          <w:b/>
          <w:bCs/>
          <w:sz w:val="20"/>
          <w:szCs w:val="20"/>
        </w:rPr>
        <w:t>tres (3) años</w:t>
      </w:r>
      <w:r>
        <w:rPr>
          <w:rFonts w:ascii="Arial" w:eastAsia="Arial" w:hAnsi="Arial" w:cs="Arial"/>
          <w:sz w:val="20"/>
          <w:szCs w:val="20"/>
        </w:rPr>
        <w:t xml:space="preserve"> o </w:t>
      </w:r>
      <w:r>
        <w:rPr>
          <w:rFonts w:ascii="Arial" w:eastAsia="Arial" w:hAnsi="Arial" w:cs="Arial"/>
          <w:b/>
          <w:bCs/>
          <w:sz w:val="20"/>
          <w:szCs w:val="20"/>
        </w:rPr>
        <w:t>cinco (5) años</w:t>
      </w:r>
      <w:r>
        <w:rPr>
          <w:rFonts w:ascii="Arial" w:eastAsia="Arial" w:hAnsi="Arial" w:cs="Arial"/>
          <w:sz w:val="20"/>
          <w:szCs w:val="20"/>
        </w:rPr>
        <w:t>, teniendo en cuenta que en la documentación del proceso se evidencian referencias que pueden generar diferentes interpretaciones.</w:t>
      </w:r>
    </w:p>
    <w:p w14:paraId="70529DC8" w14:textId="77777777" w:rsidR="00BE6367" w:rsidRDefault="00C90F6A">
      <w:pPr>
        <w:jc w:val="both"/>
        <w:rPr>
          <w:rFonts w:ascii="Arial" w:eastAsia="Arial" w:hAnsi="Arial" w:cs="Arial"/>
          <w:sz w:val="20"/>
          <w:szCs w:val="20"/>
        </w:rPr>
      </w:pPr>
      <w:r>
        <w:rPr>
          <w:rFonts w:ascii="Arial" w:eastAsia="Arial" w:hAnsi="Arial" w:cs="Arial"/>
          <w:sz w:val="20"/>
          <w:szCs w:val="20"/>
        </w:rPr>
        <w:t>Lo anterior, con el fin de brindar claridad a los proponentes sobre el alcance del requisito y garantizar la adecuada estructuración de las ofertas bajo un mismo criterio de evaluación.</w:t>
      </w:r>
    </w:p>
    <w:p w14:paraId="2C7C03CF"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2CAAE34F" w14:textId="77777777" w:rsidR="00BE6367" w:rsidRDefault="00C90F6A">
      <w:pPr>
        <w:jc w:val="both"/>
        <w:rPr>
          <w:rFonts w:ascii="Arial" w:eastAsia="Arial" w:hAnsi="Arial" w:cs="Arial"/>
          <w:sz w:val="20"/>
          <w:szCs w:val="20"/>
        </w:rPr>
      </w:pPr>
      <w:r>
        <w:rPr>
          <w:rFonts w:ascii="Arial" w:eastAsia="Arial" w:hAnsi="Arial" w:cs="Arial"/>
          <w:sz w:val="20"/>
          <w:szCs w:val="20"/>
        </w:rPr>
        <w:t>Se aclara que el término de garantía para los equipos Computador de Escritorio – AIO Avanzado y Workstation corresponde mínimo a tres (3) años, de conformidad con lo establecido en la respectiva ficha técnica de producto.</w:t>
      </w:r>
    </w:p>
    <w:p w14:paraId="32DF0FA3" w14:textId="77777777" w:rsidR="00BE6367" w:rsidRDefault="00C90F6A">
      <w:pPr>
        <w:jc w:val="both"/>
        <w:rPr>
          <w:rFonts w:ascii="Arial" w:eastAsia="Arial" w:hAnsi="Arial" w:cs="Arial"/>
          <w:sz w:val="20"/>
          <w:szCs w:val="20"/>
        </w:rPr>
      </w:pPr>
      <w:r>
        <w:rPr>
          <w:rFonts w:ascii="Arial" w:eastAsia="Arial" w:hAnsi="Arial" w:cs="Arial"/>
          <w:b/>
          <w:bCs/>
          <w:sz w:val="20"/>
          <w:szCs w:val="20"/>
        </w:rPr>
        <w:t>Observación 14-COMPUTADOR DE ESCRITORIO - AIO AVANZADO (Acreditación del puntaje PCMark 10):</w:t>
      </w:r>
    </w:p>
    <w:p w14:paraId="3267B410" w14:textId="77777777" w:rsidR="00BE6367" w:rsidRDefault="00C90F6A">
      <w:pPr>
        <w:jc w:val="both"/>
        <w:rPr>
          <w:rFonts w:ascii="Arial" w:eastAsia="Arial" w:hAnsi="Arial" w:cs="Arial"/>
          <w:sz w:val="20"/>
          <w:szCs w:val="20"/>
        </w:rPr>
      </w:pPr>
      <w:r>
        <w:rPr>
          <w:rFonts w:ascii="Arial" w:eastAsia="Arial" w:hAnsi="Arial" w:cs="Arial"/>
          <w:sz w:val="20"/>
          <w:szCs w:val="20"/>
        </w:rPr>
        <w:t>Se solicita a la entidad aclarar si el requisito correspondiente al "Rendimiento PCMark 10 – Puntaje (Score) mínimo 6.200" deberá ser acreditado por el oferente durante la presentación de la propuesta o si su verificación será exigida al contratista seleccionado durante la ejecución del contrato.</w:t>
      </w:r>
    </w:p>
    <w:p w14:paraId="4F73871A" w14:textId="77777777" w:rsidR="00BE6367" w:rsidRDefault="00C90F6A">
      <w:pPr>
        <w:jc w:val="both"/>
        <w:rPr>
          <w:rFonts w:ascii="Arial" w:eastAsia="Arial" w:hAnsi="Arial" w:cs="Arial"/>
          <w:b/>
          <w:bCs/>
          <w:sz w:val="20"/>
          <w:szCs w:val="20"/>
        </w:rPr>
      </w:pPr>
      <w:r>
        <w:rPr>
          <w:rFonts w:ascii="Arial" w:eastAsia="Arial" w:hAnsi="Arial" w:cs="Arial"/>
          <w:sz w:val="20"/>
          <w:szCs w:val="20"/>
        </w:rPr>
        <w:t>Lo anterior, teniendo en cuenta que, en la etapa de presentación de ofertas, los proponentes no cuentan con los equipos que serán suministrados para la ejecución del contrato, por lo que no es posible acreditar objetivamente el resultado del benchmark sobre la máquina definitiva. En este sentido, se recomienda que dicha verificación sea exigida al contratista previo a la entrega de los equipos, garantizando así que la validación se realice sobre el equipo efectivamente suministrado.</w:t>
      </w:r>
    </w:p>
    <w:p w14:paraId="1E12E09E"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553FBDA7" w14:textId="77777777" w:rsidR="00BE6367" w:rsidRDefault="00C90F6A">
      <w:pPr>
        <w:jc w:val="both"/>
        <w:rPr>
          <w:rFonts w:ascii="Arial" w:eastAsia="Arial" w:hAnsi="Arial" w:cs="Arial"/>
          <w:b/>
          <w:bCs/>
          <w:sz w:val="20"/>
          <w:szCs w:val="20"/>
        </w:rPr>
      </w:pPr>
      <w:r>
        <w:rPr>
          <w:rFonts w:ascii="Arial" w:eastAsia="Arial" w:hAnsi="Arial" w:cs="Arial"/>
          <w:sz w:val="20"/>
          <w:szCs w:val="20"/>
        </w:rPr>
        <w:t>Se aclara que la verificación del requisito de rendimiento PCMark 10 – puntaje mínimo de 6.200 se realizará en el momento de la entrega de los equipos, mediante la certificación de aval técnico emitida por el fabricante o comitente vendedor. De esta manera se garantiza que la validación se efectúe sobre los equipos efectivamente suministrados, asegurando el cumplimiento de la especificación técnica establecida en los documentos del proceso.</w:t>
      </w:r>
    </w:p>
    <w:p w14:paraId="095B889D"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ITEM: COMPUTADOR DE ESCRITORIO - WORKSTATION</w:t>
      </w:r>
    </w:p>
    <w:p w14:paraId="17949374"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15-COMPUTADOR DE ESCRITORIO - WORKSTATION (Puertos Video):</w:t>
      </w:r>
    </w:p>
    <w:p w14:paraId="39E98742"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Respetuosamente solicitamos al </w:t>
      </w:r>
      <w:r>
        <w:rPr>
          <w:rFonts w:ascii="Arial" w:eastAsia="Arial" w:hAnsi="Arial" w:cs="Arial"/>
          <w:b/>
          <w:bCs/>
          <w:sz w:val="20"/>
          <w:szCs w:val="20"/>
        </w:rPr>
        <w:t>Comitente Comprador</w:t>
      </w:r>
      <w:r>
        <w:rPr>
          <w:rFonts w:ascii="Arial" w:eastAsia="Arial" w:hAnsi="Arial" w:cs="Arial"/>
          <w:sz w:val="20"/>
          <w:szCs w:val="20"/>
        </w:rPr>
        <w:t xml:space="preserve"> aclarar el alcance de la especificación correspondiente a los puertos de video de la estación de trabajo, la cual establece:</w:t>
      </w:r>
    </w:p>
    <w:p w14:paraId="4EF6B8B5" w14:textId="77777777" w:rsidR="00BE6367" w:rsidRDefault="00C90F6A">
      <w:pPr>
        <w:jc w:val="both"/>
        <w:rPr>
          <w:rFonts w:ascii="Arial" w:eastAsia="Arial" w:hAnsi="Arial" w:cs="Arial"/>
          <w:sz w:val="20"/>
          <w:szCs w:val="20"/>
        </w:rPr>
      </w:pPr>
      <w:r>
        <w:rPr>
          <w:rFonts w:ascii="Arial" w:eastAsia="Arial" w:hAnsi="Arial" w:cs="Arial"/>
          <w:b/>
          <w:bCs/>
          <w:sz w:val="20"/>
          <w:szCs w:val="20"/>
        </w:rPr>
        <w:t>Puertos de video:</w:t>
      </w:r>
      <w:r>
        <w:rPr>
          <w:rFonts w:ascii="Arial" w:eastAsia="Arial" w:hAnsi="Arial" w:cs="Arial"/>
          <w:sz w:val="20"/>
          <w:szCs w:val="20"/>
        </w:rPr>
        <w:t xml:space="preserve"> </w:t>
      </w:r>
      <w:r>
        <w:rPr>
          <w:rFonts w:ascii="Arial" w:eastAsia="Arial" w:hAnsi="Arial" w:cs="Arial"/>
          <w:i/>
          <w:iCs/>
          <w:sz w:val="20"/>
          <w:szCs w:val="20"/>
        </w:rPr>
        <w:t>"Tipos: HDMI 2.1, DisplayPort 1.4, USB-C con Display Alt Mode. Soporte: Múltiples monitores 4K o 5K."</w:t>
      </w:r>
    </w:p>
    <w:p w14:paraId="6A18C767" w14:textId="77777777" w:rsidR="00BE6367" w:rsidRDefault="00C90F6A">
      <w:pPr>
        <w:jc w:val="both"/>
        <w:rPr>
          <w:rFonts w:ascii="Arial" w:eastAsia="Arial" w:hAnsi="Arial" w:cs="Arial"/>
          <w:sz w:val="20"/>
          <w:szCs w:val="20"/>
        </w:rPr>
      </w:pPr>
      <w:r>
        <w:rPr>
          <w:rFonts w:ascii="Arial" w:eastAsia="Arial" w:hAnsi="Arial" w:cs="Arial"/>
          <w:sz w:val="20"/>
          <w:szCs w:val="20"/>
        </w:rPr>
        <w:t>Así mismo, en el apartado de la tarjeta de video se requiere:</w:t>
      </w:r>
    </w:p>
    <w:p w14:paraId="53A6977A" w14:textId="77777777" w:rsidR="00BE6367" w:rsidRDefault="00C90F6A">
      <w:pPr>
        <w:jc w:val="both"/>
        <w:rPr>
          <w:rFonts w:ascii="Arial" w:eastAsia="Arial" w:hAnsi="Arial" w:cs="Arial"/>
          <w:sz w:val="20"/>
          <w:szCs w:val="20"/>
        </w:rPr>
      </w:pPr>
      <w:r>
        <w:rPr>
          <w:rFonts w:ascii="Arial" w:eastAsia="Arial" w:hAnsi="Arial" w:cs="Arial"/>
          <w:i/>
          <w:iCs/>
          <w:sz w:val="20"/>
          <w:szCs w:val="20"/>
        </w:rPr>
        <w:t>"Salidas de video: Mínimo tres (3) puertos DisplayPort 1.4a o superior, con soporte nativo para resoluciones 8K 60 Hz o múltiples arreglos."</w:t>
      </w:r>
    </w:p>
    <w:p w14:paraId="390E1417"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De la forma en que se encuentra redactada la especificación, podría interpretarse que el equipo debe incorporar un (1) puerto HDMI 2.1, un (1) puerto DisplayPort 1.4 y un (1) puerto USB-C con Display Alt Mode, y que, </w:t>
      </w:r>
      <w:r>
        <w:rPr>
          <w:rFonts w:ascii="Arial" w:eastAsia="Arial" w:hAnsi="Arial" w:cs="Arial"/>
          <w:b/>
          <w:bCs/>
          <w:sz w:val="20"/>
          <w:szCs w:val="20"/>
        </w:rPr>
        <w:t>de manera adicional</w:t>
      </w:r>
      <w:r>
        <w:rPr>
          <w:rFonts w:ascii="Arial" w:eastAsia="Arial" w:hAnsi="Arial" w:cs="Arial"/>
          <w:sz w:val="20"/>
          <w:szCs w:val="20"/>
        </w:rPr>
        <w:t xml:space="preserve">, la tarjeta gráfica debe disponer de mínimo </w:t>
      </w:r>
      <w:r>
        <w:rPr>
          <w:rFonts w:ascii="Arial" w:eastAsia="Arial" w:hAnsi="Arial" w:cs="Arial"/>
          <w:sz w:val="20"/>
          <w:szCs w:val="20"/>
        </w:rPr>
        <w:lastRenderedPageBreak/>
        <w:t xml:space="preserve">tres (3) puertos DisplayPort 1.4a o superior, lo que representaría un requerimiento de hasta </w:t>
      </w:r>
      <w:r>
        <w:rPr>
          <w:rFonts w:ascii="Arial" w:eastAsia="Arial" w:hAnsi="Arial" w:cs="Arial"/>
          <w:b/>
          <w:bCs/>
          <w:sz w:val="20"/>
          <w:szCs w:val="20"/>
        </w:rPr>
        <w:t>seis (6) salidas de video físicas</w:t>
      </w:r>
      <w:r>
        <w:rPr>
          <w:rFonts w:ascii="Arial" w:eastAsia="Arial" w:hAnsi="Arial" w:cs="Arial"/>
          <w:sz w:val="20"/>
          <w:szCs w:val="20"/>
        </w:rPr>
        <w:t xml:space="preserve"> (cuatro DisplayPort, un HDMI y un USB-C).</w:t>
      </w:r>
    </w:p>
    <w:p w14:paraId="6C2577FE" w14:textId="77777777" w:rsidR="00BE6367" w:rsidRDefault="00C90F6A">
      <w:pPr>
        <w:jc w:val="both"/>
        <w:rPr>
          <w:rFonts w:ascii="Arial" w:eastAsia="Arial" w:hAnsi="Arial" w:cs="Arial"/>
          <w:sz w:val="20"/>
          <w:szCs w:val="20"/>
        </w:rPr>
      </w:pPr>
      <w:r>
        <w:rPr>
          <w:rFonts w:ascii="Arial" w:eastAsia="Arial" w:hAnsi="Arial" w:cs="Arial"/>
          <w:sz w:val="20"/>
          <w:szCs w:val="20"/>
        </w:rPr>
        <w:t>Consideramos que dicha interpretación resulta desproporcionada, toda vez que la finalidad de la tarjeta gráfica profesional es precisamente proporcionar las interfaces de video necesarias para la conexión de múltiples monitores de alta resolución, soportar configuraciones multimonitor, resoluciones de hasta 8K y demás capacidades gráficas requeridas para una estación de trabajo profesional. En consecuencia, el requerimiento de una tarjeta gráfica con mínimo tres (3) puertos DisplayPort 1.4a o superior ya garantiza el cumplimiento de las capacidades de visualización exigidas por el Comitente Comprador, por lo que exigir adicionalmente puertos HDMI, DisplayPort y USB-C como requisitos independientes podría generar una restricción técnica innecesaria.</w:t>
      </w:r>
    </w:p>
    <w:p w14:paraId="7479299B"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En este sentido, solicitamos confirmar si la intención del </w:t>
      </w:r>
      <w:r>
        <w:rPr>
          <w:rFonts w:ascii="Arial" w:eastAsia="Arial" w:hAnsi="Arial" w:cs="Arial"/>
          <w:b/>
          <w:bCs/>
          <w:sz w:val="20"/>
          <w:szCs w:val="20"/>
        </w:rPr>
        <w:t>Comitente Comprador</w:t>
      </w:r>
      <w:r>
        <w:rPr>
          <w:rFonts w:ascii="Arial" w:eastAsia="Arial" w:hAnsi="Arial" w:cs="Arial"/>
          <w:sz w:val="20"/>
          <w:szCs w:val="20"/>
        </w:rPr>
        <w:t xml:space="preserve"> es que el requisito de </w:t>
      </w:r>
      <w:r>
        <w:rPr>
          <w:rFonts w:ascii="Arial" w:eastAsia="Arial" w:hAnsi="Arial" w:cs="Arial"/>
          <w:b/>
          <w:bCs/>
          <w:sz w:val="20"/>
          <w:szCs w:val="20"/>
        </w:rPr>
        <w:t>Puertos de video</w:t>
      </w:r>
      <w:r>
        <w:rPr>
          <w:rFonts w:ascii="Arial" w:eastAsia="Arial" w:hAnsi="Arial" w:cs="Arial"/>
          <w:sz w:val="20"/>
          <w:szCs w:val="20"/>
        </w:rPr>
        <w:t xml:space="preserve"> corresponda a </w:t>
      </w:r>
      <w:r>
        <w:rPr>
          <w:rFonts w:ascii="Arial" w:eastAsia="Arial" w:hAnsi="Arial" w:cs="Arial"/>
          <w:b/>
          <w:bCs/>
          <w:sz w:val="20"/>
          <w:szCs w:val="20"/>
        </w:rPr>
        <w:t>cualquiera</w:t>
      </w:r>
      <w:r>
        <w:rPr>
          <w:rFonts w:ascii="Arial" w:eastAsia="Arial" w:hAnsi="Arial" w:cs="Arial"/>
          <w:sz w:val="20"/>
          <w:szCs w:val="20"/>
        </w:rPr>
        <w:t xml:space="preserve"> de las siguientes interfaces: </w:t>
      </w:r>
      <w:r>
        <w:rPr>
          <w:rFonts w:ascii="Arial" w:eastAsia="Arial" w:hAnsi="Arial" w:cs="Arial"/>
          <w:b/>
          <w:bCs/>
          <w:sz w:val="20"/>
          <w:szCs w:val="20"/>
        </w:rPr>
        <w:t>HDMI 2.1 ó DisplayPort 1.4 ó USB-C con Display Alt Mode</w:t>
      </w:r>
      <w:r>
        <w:rPr>
          <w:rFonts w:ascii="Arial" w:eastAsia="Arial" w:hAnsi="Arial" w:cs="Arial"/>
          <w:sz w:val="20"/>
          <w:szCs w:val="20"/>
        </w:rPr>
        <w:t>, y no a la incorporación simultánea de todas ellas.</w:t>
      </w:r>
    </w:p>
    <w:p w14:paraId="673E1385"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En caso afirmativo, respetuosamente sugerimos ajustar la redacción utilizando el término </w:t>
      </w:r>
      <w:r>
        <w:rPr>
          <w:rFonts w:ascii="Arial" w:eastAsia="Arial" w:hAnsi="Arial" w:cs="Arial"/>
          <w:b/>
          <w:bCs/>
          <w:sz w:val="20"/>
          <w:szCs w:val="20"/>
        </w:rPr>
        <w:t>"ó"</w:t>
      </w:r>
      <w:r>
        <w:rPr>
          <w:rFonts w:ascii="Arial" w:eastAsia="Arial" w:hAnsi="Arial" w:cs="Arial"/>
          <w:sz w:val="20"/>
          <w:szCs w:val="20"/>
        </w:rPr>
        <w:t>, de la siguiente manera:</w:t>
      </w:r>
    </w:p>
    <w:p w14:paraId="537FCB07" w14:textId="77777777" w:rsidR="00BE6367" w:rsidRDefault="00C90F6A">
      <w:pPr>
        <w:jc w:val="both"/>
        <w:rPr>
          <w:rFonts w:ascii="Arial" w:eastAsia="Arial" w:hAnsi="Arial" w:cs="Arial"/>
          <w:sz w:val="20"/>
          <w:szCs w:val="20"/>
        </w:rPr>
      </w:pPr>
      <w:r>
        <w:rPr>
          <w:rFonts w:ascii="Arial" w:eastAsia="Arial" w:hAnsi="Arial" w:cs="Arial"/>
          <w:b/>
          <w:bCs/>
          <w:sz w:val="20"/>
          <w:szCs w:val="20"/>
        </w:rPr>
        <w:t>"Puertos de video: HDMI 2.1 ó DisplayPort 1.4 ó USB-C con Display Alt Mode, con soporte para múltiples monitores 4K o 5K."</w:t>
      </w:r>
    </w:p>
    <w:p w14:paraId="689CB317" w14:textId="77777777" w:rsidR="00BE6367" w:rsidRDefault="00C90F6A">
      <w:pPr>
        <w:jc w:val="both"/>
        <w:rPr>
          <w:rFonts w:ascii="Arial" w:eastAsia="Arial" w:hAnsi="Arial" w:cs="Arial"/>
          <w:sz w:val="20"/>
          <w:szCs w:val="20"/>
        </w:rPr>
      </w:pPr>
      <w:r>
        <w:rPr>
          <w:rFonts w:ascii="Arial" w:eastAsia="Arial" w:hAnsi="Arial" w:cs="Arial"/>
          <w:sz w:val="20"/>
          <w:szCs w:val="20"/>
        </w:rPr>
        <w:t>Esta aclaración permitirá una interpretación unívoca del requisito técnico, evitará inconvenientes durante la presentación y evaluación de las ofertas y promoverá la pluralidad de oferentes, sin afectar las capacidades funcionales requeridas por el Comitente Comprador.</w:t>
      </w:r>
    </w:p>
    <w:p w14:paraId="5E8F7A9B"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415F72D0" w14:textId="77777777" w:rsidR="00BE6367" w:rsidRDefault="00C90F6A">
      <w:pPr>
        <w:jc w:val="both"/>
        <w:rPr>
          <w:rFonts w:ascii="Arial" w:eastAsia="Arial" w:hAnsi="Arial" w:cs="Arial"/>
          <w:sz w:val="20"/>
          <w:szCs w:val="20"/>
        </w:rPr>
      </w:pPr>
      <w:r>
        <w:rPr>
          <w:rFonts w:ascii="Arial" w:eastAsia="Arial" w:hAnsi="Arial" w:cs="Arial"/>
          <w:sz w:val="20"/>
          <w:szCs w:val="20"/>
        </w:rPr>
        <w:t>Se acepta la observación, con la finalidad de evitar malinterpretaciones por parte de los comitentes vendedores, se modificará el requerimiento de puertos de video para precisar que se exige al menos una de las siguientes interfaces de salida (HDMI 2.1 o DisplayPort 1.4 o USB-C con Display Alt Mode). Esta aclaración se establece considerando la necesidad de soportar distintos monitores que utilizan cables diferentes tipos de conexión, adicionales a los puertos ya establecidos en la tarjeta gráfica incorporada.</w:t>
      </w:r>
    </w:p>
    <w:p w14:paraId="05C45BA0" w14:textId="77777777" w:rsidR="00BE6367" w:rsidRDefault="00BE6367">
      <w:pPr>
        <w:jc w:val="both"/>
        <w:rPr>
          <w:rFonts w:ascii="Arial" w:eastAsia="Arial" w:hAnsi="Arial" w:cs="Arial"/>
          <w:sz w:val="20"/>
          <w:szCs w:val="20"/>
        </w:rPr>
      </w:pPr>
    </w:p>
    <w:p w14:paraId="58FBB63B"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16-COMPUTADOR DE ESCRITORIO - WORKSTATION (Teclado Recorrido entre teclas):</w:t>
      </w:r>
    </w:p>
    <w:p w14:paraId="4B8ADC9C" w14:textId="77777777" w:rsidR="00BE6367" w:rsidRDefault="00C90F6A">
      <w:pPr>
        <w:jc w:val="both"/>
        <w:rPr>
          <w:rFonts w:ascii="Arial" w:eastAsia="Arial" w:hAnsi="Arial" w:cs="Arial"/>
          <w:sz w:val="20"/>
          <w:szCs w:val="20"/>
        </w:rPr>
      </w:pPr>
      <w:r>
        <w:rPr>
          <w:rFonts w:ascii="Arial" w:eastAsia="Arial" w:hAnsi="Arial" w:cs="Arial"/>
          <w:sz w:val="20"/>
          <w:szCs w:val="20"/>
        </w:rPr>
        <w:t>Teniendo en cuenta que dentro de las especificaciones técnicas se establece un recorrido total de tecla de 4.0 mm, se solicita a la entidad aclarar si será permitido ofertar teclados con un recorrido menor al indicado.</w:t>
      </w:r>
    </w:p>
    <w:p w14:paraId="293E2B15" w14:textId="77777777" w:rsidR="00BE6367" w:rsidRDefault="00C90F6A">
      <w:pPr>
        <w:jc w:val="both"/>
        <w:rPr>
          <w:rFonts w:ascii="Arial" w:eastAsia="Arial" w:hAnsi="Arial" w:cs="Arial"/>
          <w:sz w:val="20"/>
          <w:szCs w:val="20"/>
        </w:rPr>
      </w:pPr>
      <w:r>
        <w:rPr>
          <w:rFonts w:ascii="Arial" w:eastAsia="Arial" w:hAnsi="Arial" w:cs="Arial"/>
          <w:sz w:val="20"/>
          <w:szCs w:val="20"/>
        </w:rPr>
        <w:t>Lo anterior, considerando que los teclados con switches mecánicos de bajo perfil están diseñados para ofrecer una menor distancia de desplazamiento y activación, lo cual puede brindar beneficios técnicos como una respuesta más rápida, mayor fluidez durante la digitación, menor esfuerzo de pulsación y mejor desempeño en escenarios de uso donde se requiere velocidad de respuesta, como aplicaciones gaming o de alta interacción.</w:t>
      </w:r>
    </w:p>
    <w:p w14:paraId="5107995F" w14:textId="77777777" w:rsidR="00BE6367" w:rsidRDefault="00C90F6A">
      <w:pPr>
        <w:jc w:val="both"/>
        <w:rPr>
          <w:rFonts w:ascii="Arial" w:eastAsia="Arial" w:hAnsi="Arial" w:cs="Arial"/>
          <w:sz w:val="20"/>
          <w:szCs w:val="20"/>
        </w:rPr>
      </w:pPr>
      <w:r>
        <w:rPr>
          <w:rFonts w:ascii="Arial" w:eastAsia="Arial" w:hAnsi="Arial" w:cs="Arial"/>
          <w:sz w:val="20"/>
          <w:szCs w:val="20"/>
        </w:rPr>
        <w:t>En este sentido, se recomienda a la entidad con el fin de permitir pluralidad de marcas que los teclados cuenten con un recorrido menor o igual a 4.0 mm, siempre que cumplan con las demás características técnicas requeridas, con el fin de permitir la participación de tecnologías actuales disponibles en el mercado y garantizar una mayor pluralidad de oferentes.</w:t>
      </w:r>
    </w:p>
    <w:p w14:paraId="2B93BC10"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RESPUESTA A OBSERVACIÓN:</w:t>
      </w:r>
    </w:p>
    <w:p w14:paraId="5DA27087"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Se aclara que el requerimiento para el teclado establece un recorrido de tecla de máximo 4.0 mm, por lo cual se aceptan recorridos de menor distancia. Con el fin de que este requisito quede expresado de la mejor manera y facilite su comprensión, se modificará la redacción para precisar dicho límite como parámetro de máximo cumplimiento, indicando claramente que recorridos inferiores se admiten y cumplen con la especificación.</w:t>
      </w:r>
    </w:p>
    <w:p w14:paraId="3BC3C628"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17– COMPUTADOR DE ESCRITORIO - WORKSTATION (Posiciones del teclado):</w:t>
      </w:r>
    </w:p>
    <w:p w14:paraId="6095C193" w14:textId="77777777" w:rsidR="00BE6367" w:rsidRDefault="00C90F6A">
      <w:pPr>
        <w:jc w:val="both"/>
        <w:rPr>
          <w:rFonts w:ascii="Arial" w:eastAsia="Arial" w:hAnsi="Arial" w:cs="Arial"/>
          <w:sz w:val="20"/>
          <w:szCs w:val="20"/>
        </w:rPr>
      </w:pPr>
      <w:r>
        <w:rPr>
          <w:rFonts w:ascii="Arial" w:eastAsia="Arial" w:hAnsi="Arial" w:cs="Arial"/>
          <w:sz w:val="20"/>
          <w:szCs w:val="20"/>
        </w:rPr>
        <w:t>Respecto al requerimiento que establece que el teclado debe contar con "tres ángulos de inclinación mediante patas ajustables en 3 posiciones", se solicita a la entidad revisar esta condición técnica, teniendo en cuenta que en el mercado la mayoría de teclados mecánicos gaming cuentan con un sistema estándar de patas traseras ajustables, las cuales generalmente permiten una posición adicional de inclinación al extenderse o mantenerse plegadas, generando normalmente dos niveles de ajuste.</w:t>
      </w:r>
    </w:p>
    <w:p w14:paraId="6C300475" w14:textId="77777777" w:rsidR="00BE6367" w:rsidRDefault="00C90F6A">
      <w:pPr>
        <w:jc w:val="both"/>
        <w:rPr>
          <w:rFonts w:ascii="Arial" w:eastAsia="Arial" w:hAnsi="Arial" w:cs="Arial"/>
          <w:sz w:val="20"/>
          <w:szCs w:val="20"/>
        </w:rPr>
      </w:pPr>
      <w:r>
        <w:rPr>
          <w:rFonts w:ascii="Arial" w:eastAsia="Arial" w:hAnsi="Arial" w:cs="Arial"/>
          <w:sz w:val="20"/>
          <w:szCs w:val="20"/>
        </w:rPr>
        <w:t>La exigencia de tres posiciones de inclinación corresponde a una característica particular de algunos modelos específicos y no representa una condición técnica generalizada dentro de la categoría de teclados mecánicos gaming. Por lo anterior, mantener esta condición podría limitar la participación de fabricantes y referencias disponibles en el mercado que cuentan con soluciones técnicamente equivalentes y que cumplen con la funcionalidad ergonómica requerida.</w:t>
      </w:r>
    </w:p>
    <w:p w14:paraId="0927F777" w14:textId="77777777" w:rsidR="00BE6367" w:rsidRDefault="00C90F6A">
      <w:pPr>
        <w:jc w:val="both"/>
        <w:rPr>
          <w:rFonts w:ascii="Arial" w:eastAsia="Arial" w:hAnsi="Arial" w:cs="Arial"/>
          <w:sz w:val="20"/>
          <w:szCs w:val="20"/>
        </w:rPr>
      </w:pPr>
      <w:r>
        <w:rPr>
          <w:rFonts w:ascii="Arial" w:eastAsia="Arial" w:hAnsi="Arial" w:cs="Arial"/>
          <w:sz w:val="20"/>
          <w:szCs w:val="20"/>
        </w:rPr>
        <w:t>En este sentido, con el propósito de garantizar los principios de pluralidad de oferentes y libre participación, se recomienda a la entidad ajustar el requerimiento a:</w:t>
      </w:r>
    </w:p>
    <w:p w14:paraId="5D4D468D"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"Teclado con patas ajustables que permitan mínimo dos posiciones de inclinación."</w:t>
      </w:r>
    </w:p>
    <w:p w14:paraId="78988382" w14:textId="77777777" w:rsidR="00BE6367" w:rsidRDefault="00C90F6A">
      <w:pPr>
        <w:jc w:val="both"/>
        <w:rPr>
          <w:rFonts w:ascii="Arial" w:eastAsia="Arial" w:hAnsi="Arial" w:cs="Arial"/>
          <w:sz w:val="20"/>
          <w:szCs w:val="20"/>
        </w:rPr>
      </w:pPr>
      <w:r>
        <w:rPr>
          <w:rFonts w:ascii="Arial" w:eastAsia="Arial" w:hAnsi="Arial" w:cs="Arial"/>
          <w:sz w:val="20"/>
          <w:szCs w:val="20"/>
        </w:rPr>
        <w:t>Esta modificación mantiene la funcionalidad ergonómica requerida para el usuario final, permitiendo la participación de un mayor número de fabricantes sin afectar la calidad ni desempeño del dispositivo.</w:t>
      </w:r>
    </w:p>
    <w:p w14:paraId="0DFA0ED6" w14:textId="77777777" w:rsidR="00BE6367" w:rsidRDefault="00BE6367">
      <w:pPr>
        <w:jc w:val="both"/>
        <w:rPr>
          <w:rFonts w:ascii="Arial" w:eastAsia="Arial" w:hAnsi="Arial" w:cs="Arial"/>
          <w:sz w:val="20"/>
          <w:szCs w:val="20"/>
        </w:rPr>
      </w:pPr>
    </w:p>
    <w:p w14:paraId="4D17DDEA" w14:textId="77777777" w:rsidR="00BE6367" w:rsidRDefault="00BE6367">
      <w:pPr>
        <w:jc w:val="both"/>
        <w:rPr>
          <w:rFonts w:ascii="Arial" w:eastAsia="Arial" w:hAnsi="Arial" w:cs="Arial"/>
          <w:sz w:val="20"/>
          <w:szCs w:val="20"/>
        </w:rPr>
      </w:pPr>
    </w:p>
    <w:p w14:paraId="27A9405D"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LA OBSERVACIÓN:</w:t>
      </w:r>
      <w:r>
        <w:rPr>
          <w:rFonts w:ascii="Arial" w:eastAsia="Arial" w:hAnsi="Arial" w:cs="Arial"/>
          <w:sz w:val="20"/>
          <w:szCs w:val="20"/>
        </w:rPr>
        <w:t xml:space="preserve"> </w:t>
      </w:r>
    </w:p>
    <w:p w14:paraId="2316E7E9" w14:textId="77777777" w:rsidR="00BE6367" w:rsidRDefault="00C90F6A">
      <w:pPr>
        <w:jc w:val="both"/>
        <w:rPr>
          <w:rFonts w:ascii="Arial" w:eastAsia="Arial" w:hAnsi="Arial" w:cs="Arial"/>
          <w:sz w:val="20"/>
          <w:szCs w:val="20"/>
        </w:rPr>
      </w:pPr>
      <w:r>
        <w:rPr>
          <w:rFonts w:ascii="Arial" w:eastAsia="Arial" w:hAnsi="Arial" w:cs="Arial"/>
          <w:sz w:val="20"/>
          <w:szCs w:val="20"/>
        </w:rPr>
        <w:t>Se acepta la observación y se modificará el requerimiento para ampliar la pluralidad de mercado, teniendo en cuenta los estándares actuales. En lugar de exigir tres ángulos de inclinación mediante patas ajustables en 3 posiciones, se establecerá que el teclado deberá contar con patas ajustables que permitan mínimo dos (2) posiciones de inclinación. De esta manera se mantiene la ergonomía necesaria y se favorece la participación de un mayor número de marcas y modelos disponibles en el mercado.</w:t>
      </w:r>
    </w:p>
    <w:p w14:paraId="40CB8AFE"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18 – COMPUTADOR DE ESCRITORIO - WORKSTATION (Cámara de Workstation):</w:t>
      </w:r>
    </w:p>
    <w:p w14:paraId="5BA018B3"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Se solicita a la entidad </w:t>
      </w:r>
      <w:r>
        <w:rPr>
          <w:rFonts w:ascii="Arial" w:eastAsia="Arial" w:hAnsi="Arial" w:cs="Arial"/>
          <w:b/>
          <w:bCs/>
          <w:sz w:val="20"/>
          <w:szCs w:val="20"/>
        </w:rPr>
        <w:t>considerar la eliminación del requisito</w:t>
      </w:r>
      <w:r>
        <w:rPr>
          <w:rFonts w:ascii="Arial" w:eastAsia="Arial" w:hAnsi="Arial" w:cs="Arial"/>
          <w:sz w:val="20"/>
          <w:szCs w:val="20"/>
        </w:rPr>
        <w:t xml:space="preserve"> que exige que la cámara cuente con </w:t>
      </w:r>
      <w:r>
        <w:rPr>
          <w:rFonts w:ascii="Arial" w:eastAsia="Arial" w:hAnsi="Arial" w:cs="Arial"/>
          <w:b/>
          <w:bCs/>
          <w:sz w:val="20"/>
          <w:szCs w:val="20"/>
        </w:rPr>
        <w:t>"lente de cristal de alta precisión"</w:t>
      </w:r>
      <w:r>
        <w:rPr>
          <w:rFonts w:ascii="Arial" w:eastAsia="Arial" w:hAnsi="Arial" w:cs="Arial"/>
          <w:sz w:val="20"/>
          <w:szCs w:val="20"/>
        </w:rPr>
        <w:t>, teniendo en cuenta que la calidad óptica y el desempeño de una cámara no dependen exclusivamente del material del lente, sino del conjunto de componentes que integran el sistema de captura de imagen, tales como el sensor, apertura, procesamiento de imagen, enfoque automático y tecnologías de corrección de iluminación.</w:t>
      </w:r>
    </w:p>
    <w:p w14:paraId="27E0707B"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Actualmente, en el mercado existen diferentes tecnologías y composiciones de materiales utilizados en los sistemas ópticos de cámaras profesionales, incluyendo soluciones con elementos ópticos de alta precisión fabricados con materiales alternativos al cristal, los cuales </w:t>
      </w:r>
      <w:r>
        <w:rPr>
          <w:rFonts w:ascii="Arial" w:eastAsia="Arial" w:hAnsi="Arial" w:cs="Arial"/>
          <w:sz w:val="20"/>
          <w:szCs w:val="20"/>
        </w:rPr>
        <w:lastRenderedPageBreak/>
        <w:t>pueden ofrecer resultados equivalentes o superiores en términos de nitidez, enfoque, transmisión de luz y calidad de imagen.</w:t>
      </w:r>
    </w:p>
    <w:p w14:paraId="6847F646" w14:textId="77777777" w:rsidR="00BE6367" w:rsidRDefault="00C90F6A">
      <w:pPr>
        <w:jc w:val="both"/>
        <w:rPr>
          <w:rFonts w:ascii="Arial" w:eastAsia="Arial" w:hAnsi="Arial" w:cs="Arial"/>
          <w:sz w:val="20"/>
          <w:szCs w:val="20"/>
        </w:rPr>
      </w:pPr>
      <w:r>
        <w:rPr>
          <w:rFonts w:ascii="Arial" w:eastAsia="Arial" w:hAnsi="Arial" w:cs="Arial"/>
          <w:sz w:val="20"/>
          <w:szCs w:val="20"/>
        </w:rPr>
        <w:t>En este sentido, exigir específicamente un lente fabricado en cristal podría restringir la participación de fabricantes y referencias disponibles en el mercado, llegando incluso a limitar la oferta a una marca o modelo específico que cuente con esta característica constructiva particular, sin que esto represente necesariamente una ventaja técnica objetiva frente a otras soluciones disponibles.</w:t>
      </w:r>
    </w:p>
    <w:p w14:paraId="2BBFC23C" w14:textId="77777777" w:rsidR="00BE6367" w:rsidRDefault="00C90F6A">
      <w:pPr>
        <w:jc w:val="both"/>
        <w:rPr>
          <w:rFonts w:ascii="Arial" w:eastAsia="Arial" w:hAnsi="Arial" w:cs="Arial"/>
          <w:sz w:val="20"/>
          <w:szCs w:val="20"/>
        </w:rPr>
      </w:pPr>
      <w:r>
        <w:rPr>
          <w:rFonts w:ascii="Arial" w:eastAsia="Arial" w:hAnsi="Arial" w:cs="Arial"/>
          <w:sz w:val="20"/>
          <w:szCs w:val="20"/>
        </w:rPr>
        <w:t>Por lo anterior, se recomienda a la entidad ajustar el requerimiento a:</w:t>
      </w:r>
    </w:p>
    <w:p w14:paraId="768B335D" w14:textId="77777777" w:rsidR="00BE6367" w:rsidRDefault="00C90F6A">
      <w:pPr>
        <w:jc w:val="both"/>
        <w:rPr>
          <w:rFonts w:ascii="Arial" w:eastAsia="Arial" w:hAnsi="Arial" w:cs="Arial"/>
          <w:sz w:val="20"/>
          <w:szCs w:val="20"/>
        </w:rPr>
      </w:pPr>
      <w:r>
        <w:rPr>
          <w:rFonts w:ascii="Arial" w:eastAsia="Arial" w:hAnsi="Arial" w:cs="Arial"/>
          <w:b/>
          <w:bCs/>
          <w:sz w:val="20"/>
          <w:szCs w:val="20"/>
        </w:rPr>
        <w:t>"Lente de alta precisión con funciones de autoenfoque (Autofocus)."</w:t>
      </w:r>
    </w:p>
    <w:p w14:paraId="553E6022" w14:textId="77777777" w:rsidR="00BE6367" w:rsidRDefault="00C90F6A">
      <w:pPr>
        <w:jc w:val="both"/>
        <w:rPr>
          <w:rFonts w:ascii="Arial" w:eastAsia="Arial" w:hAnsi="Arial" w:cs="Arial"/>
          <w:sz w:val="20"/>
          <w:szCs w:val="20"/>
        </w:rPr>
      </w:pPr>
      <w:r>
        <w:rPr>
          <w:rFonts w:ascii="Arial" w:eastAsia="Arial" w:hAnsi="Arial" w:cs="Arial"/>
          <w:sz w:val="20"/>
          <w:szCs w:val="20"/>
        </w:rPr>
        <w:t>Esta modificación permitirá garantizar el cumplimiento de la necesidad técnica requerida, promoviendo la pluralidad de oferentes y evitando establecer condiciones que puedan direccionar la especificación hacia una única marca o referencia comercial.</w:t>
      </w:r>
    </w:p>
    <w:p w14:paraId="54FAE12D"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379D599C" w14:textId="77777777" w:rsidR="00BE6367" w:rsidRDefault="00C90F6A">
      <w:pPr>
        <w:jc w:val="both"/>
        <w:rPr>
          <w:rFonts w:ascii="Arial" w:eastAsia="Arial" w:hAnsi="Arial" w:cs="Arial"/>
          <w:sz w:val="20"/>
          <w:szCs w:val="20"/>
        </w:rPr>
      </w:pPr>
      <w:r>
        <w:rPr>
          <w:rFonts w:ascii="Arial" w:eastAsia="Arial" w:hAnsi="Arial" w:cs="Arial"/>
          <w:sz w:val="20"/>
          <w:szCs w:val="20"/>
        </w:rPr>
        <w:t>Se acepta la observación y se modificará el requerimiento actual. En su lugar, se establecerá la exigencia de “lente de alta precisión con autoenfoque (Autofocus) y corrección automática de luz mediante Inteligencia Artificial”, aclarando que el material del lente no será un requisito establecido.</w:t>
      </w:r>
    </w:p>
    <w:p w14:paraId="2A837C7B" w14:textId="77777777" w:rsidR="00BE6367" w:rsidRDefault="00C90F6A">
      <w:pPr>
        <w:jc w:val="both"/>
        <w:rPr>
          <w:rFonts w:ascii="Arial" w:eastAsia="Arial" w:hAnsi="Arial" w:cs="Arial"/>
          <w:sz w:val="20"/>
          <w:szCs w:val="20"/>
        </w:rPr>
      </w:pPr>
      <w:r>
        <w:rPr>
          <w:rFonts w:ascii="Arial" w:eastAsia="Arial" w:hAnsi="Arial" w:cs="Arial"/>
          <w:sz w:val="20"/>
          <w:szCs w:val="20"/>
        </w:rPr>
        <w:t>Este ajuste fomenta una mayor pluralidad de cumplimiento, permitiendo la participación de distintas marcas y tecnologías disponibles en el mercado, siempre garantizando el desempeño óptico requerido.</w:t>
      </w:r>
    </w:p>
    <w:p w14:paraId="114B471D" w14:textId="77777777" w:rsidR="00BE6367" w:rsidRDefault="00BE6367">
      <w:pPr>
        <w:jc w:val="both"/>
        <w:rPr>
          <w:rFonts w:ascii="Arial" w:eastAsia="Arial" w:hAnsi="Arial" w:cs="Arial"/>
          <w:sz w:val="20"/>
          <w:szCs w:val="20"/>
        </w:rPr>
      </w:pPr>
    </w:p>
    <w:p w14:paraId="0FF3E181"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19-– COMPUTADOR DE ESCRITORIO - WORKSTATION (WIFI de Workstation):</w:t>
      </w:r>
    </w:p>
    <w:p w14:paraId="1A1ECDA9"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Se solicita a la entidad considerar que, para las estaciones de trabajo, el requisito de conectividad inalámbrica se establezca como </w:t>
      </w:r>
      <w:r>
        <w:rPr>
          <w:rFonts w:ascii="Arial" w:eastAsia="Arial" w:hAnsi="Arial" w:cs="Arial"/>
          <w:b/>
          <w:bCs/>
          <w:sz w:val="20"/>
          <w:szCs w:val="20"/>
        </w:rPr>
        <w:t>"Tarjeta interna con soporte para Wi-Fi 2x2 MIMO"</w:t>
      </w:r>
      <w:r>
        <w:rPr>
          <w:rFonts w:ascii="Arial" w:eastAsia="Arial" w:hAnsi="Arial" w:cs="Arial"/>
          <w:sz w:val="20"/>
          <w:szCs w:val="20"/>
        </w:rPr>
        <w:t>, sin indicar una generación específica.</w:t>
      </w:r>
    </w:p>
    <w:p w14:paraId="2AC47DEC" w14:textId="77777777" w:rsidR="00BE6367" w:rsidRDefault="00C90F6A">
      <w:pPr>
        <w:jc w:val="both"/>
        <w:rPr>
          <w:rFonts w:ascii="Arial" w:eastAsia="Arial" w:hAnsi="Arial" w:cs="Arial"/>
          <w:b/>
          <w:bCs/>
          <w:sz w:val="20"/>
          <w:szCs w:val="20"/>
        </w:rPr>
      </w:pPr>
      <w:r>
        <w:rPr>
          <w:rFonts w:ascii="Arial" w:eastAsia="Arial" w:hAnsi="Arial" w:cs="Arial"/>
          <w:sz w:val="20"/>
          <w:szCs w:val="20"/>
        </w:rPr>
        <w:t>Lo anterior, teniendo en cuenta que las diferentes generaciones de Wi-Fi disponibles en el mercado ofrecen un adecuado desempeño para este tipo de equipos y su funcionalidad depende, en gran medida, de la infraestructura inalámbrica donde serán implementados. Esta modificación permitirá una mayor participación de soluciones disponibles en el mercado, sin afectar las capacidades de conectividad requeridas para la operación de las estaciones de trabajo.</w:t>
      </w:r>
    </w:p>
    <w:p w14:paraId="4F1FA30C"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0BBED4CF" w14:textId="77777777" w:rsidR="00BE6367" w:rsidRDefault="00C90F6A">
      <w:pPr>
        <w:jc w:val="both"/>
        <w:rPr>
          <w:rFonts w:ascii="Arial" w:eastAsia="Arial" w:hAnsi="Arial" w:cs="Arial"/>
          <w:sz w:val="20"/>
          <w:szCs w:val="20"/>
        </w:rPr>
      </w:pPr>
      <w:r>
        <w:rPr>
          <w:rFonts w:ascii="Arial" w:eastAsia="Arial" w:hAnsi="Arial" w:cs="Arial"/>
          <w:sz w:val="20"/>
          <w:szCs w:val="20"/>
        </w:rPr>
        <w:t>No se acepta la observación. Se mantiene el requisito de tarjeta interna con soporte para Wi-Fi 7 2x2 MIMO, considerando que esta especificación responde a la necesidad de contar con equipos preparados para soportar los estándares más recientes de conectividad inalámbrica, garantizando mayor capacidad de transmisión, menor latencia, mejor desempeño en entornos con alta densidad de dispositivos y compatibilidad con futuras actualizaciones de la infraestructura tecnológica.</w:t>
      </w:r>
    </w:p>
    <w:p w14:paraId="32F6CDAF" w14:textId="77777777" w:rsidR="00BE6367" w:rsidRDefault="00C90F6A">
      <w:pPr>
        <w:jc w:val="both"/>
        <w:rPr>
          <w:rFonts w:ascii="Arial" w:eastAsia="Arial" w:hAnsi="Arial" w:cs="Arial"/>
          <w:b/>
          <w:bCs/>
          <w:sz w:val="20"/>
          <w:szCs w:val="20"/>
        </w:rPr>
      </w:pPr>
      <w:r>
        <w:rPr>
          <w:rFonts w:ascii="Arial" w:eastAsia="Arial" w:hAnsi="Arial" w:cs="Arial"/>
          <w:sz w:val="20"/>
          <w:szCs w:val="20"/>
        </w:rPr>
        <w:t>En consecuencia, se considera procedente mantener la generación de conectividad inalámbrica establecida en las especificaciones técnicas, al corresponder con los requerimientos de desempeño y vigencia tecnológica definidos para las estaciones de trabajo objeto del presente proceso.</w:t>
      </w:r>
    </w:p>
    <w:p w14:paraId="413D8D2A"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ITEM: TABLETA</w:t>
      </w:r>
    </w:p>
    <w:p w14:paraId="715D4EE2" w14:textId="77777777" w:rsidR="00BE6367" w:rsidRDefault="00C90F6A">
      <w:pPr>
        <w:jc w:val="both"/>
        <w:rPr>
          <w:rFonts w:ascii="Arial" w:eastAsia="Arial" w:hAnsi="Arial" w:cs="Arial"/>
          <w:sz w:val="20"/>
          <w:szCs w:val="20"/>
        </w:rPr>
      </w:pPr>
      <w:r>
        <w:rPr>
          <w:rFonts w:ascii="Arial" w:eastAsia="Arial" w:hAnsi="Arial" w:cs="Arial"/>
          <w:b/>
          <w:bCs/>
          <w:sz w:val="20"/>
          <w:szCs w:val="20"/>
        </w:rPr>
        <w:lastRenderedPageBreak/>
        <w:t>Observación 20– Tableta (Motor neuronal del procesador):</w:t>
      </w:r>
    </w:p>
    <w:p w14:paraId="23A83102"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Respetuosamente solicitamos al </w:t>
      </w:r>
      <w:r>
        <w:rPr>
          <w:rFonts w:ascii="Arial" w:eastAsia="Arial" w:hAnsi="Arial" w:cs="Arial"/>
          <w:b/>
          <w:bCs/>
          <w:sz w:val="20"/>
          <w:szCs w:val="20"/>
        </w:rPr>
        <w:t>Comitente Comprador</w:t>
      </w:r>
      <w:r>
        <w:rPr>
          <w:rFonts w:ascii="Arial" w:eastAsia="Arial" w:hAnsi="Arial" w:cs="Arial"/>
          <w:sz w:val="20"/>
          <w:szCs w:val="20"/>
        </w:rPr>
        <w:t xml:space="preserve"> aclarar el alcance del siguiente requisito técnico:</w:t>
      </w:r>
    </w:p>
    <w:p w14:paraId="066CEBC7" w14:textId="77777777" w:rsidR="00BE6367" w:rsidRDefault="00C90F6A">
      <w:pPr>
        <w:jc w:val="both"/>
        <w:rPr>
          <w:rFonts w:ascii="Arial" w:eastAsia="Arial" w:hAnsi="Arial" w:cs="Arial"/>
          <w:sz w:val="20"/>
          <w:szCs w:val="20"/>
        </w:rPr>
      </w:pPr>
      <w:r>
        <w:rPr>
          <w:rFonts w:ascii="Arial" w:eastAsia="Arial" w:hAnsi="Arial" w:cs="Arial"/>
          <w:i/>
          <w:iCs/>
          <w:sz w:val="20"/>
          <w:szCs w:val="20"/>
        </w:rPr>
        <w:t>"CPU de 10 núcleos mínimo, GPU integrada deberá disponer de 10 núcleos mínimo. Deberá incluir un motor neuronal dedicado, con capacidad mínima de 32 núcleos."</w:t>
      </w:r>
    </w:p>
    <w:p w14:paraId="1B9DE0CD"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Lo anterior, teniendo en cuenta que, de acuerdo con la arquitectura de los procesadores de última generación para equipos portátiles como tabletas, actualmente no existen soluciones comerciales que incorporen un </w:t>
      </w:r>
      <w:r>
        <w:rPr>
          <w:rFonts w:ascii="Arial" w:eastAsia="Arial" w:hAnsi="Arial" w:cs="Arial"/>
          <w:b/>
          <w:bCs/>
          <w:sz w:val="20"/>
          <w:szCs w:val="20"/>
        </w:rPr>
        <w:t>motor neuronal (NPU) con treinta y dos (32) núcleos físicos dedicados</w:t>
      </w:r>
      <w:r>
        <w:rPr>
          <w:rFonts w:ascii="Arial" w:eastAsia="Arial" w:hAnsi="Arial" w:cs="Arial"/>
          <w:sz w:val="20"/>
          <w:szCs w:val="20"/>
        </w:rPr>
        <w:t>. Los fabricantes implementan motores neuronales con un número inferior de núcleos físicos, los cuales complementan su capacidad mediante aceleradores neuronales y otras tecnologías especializadas de procesamiento de Inteligencia Artificial, permitiendo alcanzar el desempeño requerido sin incrementar el número de núcleos físicos.</w:t>
      </w:r>
    </w:p>
    <w:p w14:paraId="12C5D218"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De igual forma, se evidencia que la especificación de </w:t>
      </w:r>
      <w:r>
        <w:rPr>
          <w:rFonts w:ascii="Arial" w:eastAsia="Arial" w:hAnsi="Arial" w:cs="Arial"/>
          <w:b/>
          <w:bCs/>
          <w:sz w:val="20"/>
          <w:szCs w:val="20"/>
        </w:rPr>
        <w:t>CPU con mínimo diez (10) núcleos</w:t>
      </w:r>
      <w:r>
        <w:rPr>
          <w:rFonts w:ascii="Arial" w:eastAsia="Arial" w:hAnsi="Arial" w:cs="Arial"/>
          <w:sz w:val="20"/>
          <w:szCs w:val="20"/>
        </w:rPr>
        <w:t xml:space="preserve"> restringe la participación de configuraciones comerciales ampliamente disponibles en el mercado. En particular, existen equipos que cumplen con las características de almacenamiento de </w:t>
      </w:r>
      <w:r>
        <w:rPr>
          <w:rFonts w:ascii="Arial" w:eastAsia="Arial" w:hAnsi="Arial" w:cs="Arial"/>
          <w:b/>
          <w:bCs/>
          <w:sz w:val="20"/>
          <w:szCs w:val="20"/>
        </w:rPr>
        <w:t>512 GB</w:t>
      </w:r>
      <w:r>
        <w:rPr>
          <w:rFonts w:ascii="Arial" w:eastAsia="Arial" w:hAnsi="Arial" w:cs="Arial"/>
          <w:sz w:val="20"/>
          <w:szCs w:val="20"/>
        </w:rPr>
        <w:t xml:space="preserve"> y </w:t>
      </w:r>
      <w:r>
        <w:rPr>
          <w:rFonts w:ascii="Arial" w:eastAsia="Arial" w:hAnsi="Arial" w:cs="Arial"/>
          <w:b/>
          <w:bCs/>
          <w:sz w:val="20"/>
          <w:szCs w:val="20"/>
        </w:rPr>
        <w:t>12 GB de memoria unificada</w:t>
      </w:r>
      <w:r>
        <w:rPr>
          <w:rFonts w:ascii="Arial" w:eastAsia="Arial" w:hAnsi="Arial" w:cs="Arial"/>
          <w:sz w:val="20"/>
          <w:szCs w:val="20"/>
        </w:rPr>
        <w:t xml:space="preserve">, cuya arquitectura de fábrica incorpora </w:t>
      </w:r>
      <w:r>
        <w:rPr>
          <w:rFonts w:ascii="Arial" w:eastAsia="Arial" w:hAnsi="Arial" w:cs="Arial"/>
          <w:b/>
          <w:bCs/>
          <w:sz w:val="20"/>
          <w:szCs w:val="20"/>
        </w:rPr>
        <w:t>CPU de nueve (9) núcleos</w:t>
      </w:r>
      <w:r>
        <w:rPr>
          <w:rFonts w:ascii="Arial" w:eastAsia="Arial" w:hAnsi="Arial" w:cs="Arial"/>
          <w:sz w:val="20"/>
          <w:szCs w:val="20"/>
        </w:rPr>
        <w:t xml:space="preserve">, manteniendo la </w:t>
      </w:r>
      <w:r>
        <w:rPr>
          <w:rFonts w:ascii="Arial" w:eastAsia="Arial" w:hAnsi="Arial" w:cs="Arial"/>
          <w:b/>
          <w:bCs/>
          <w:sz w:val="20"/>
          <w:szCs w:val="20"/>
        </w:rPr>
        <w:t>GPU de diez (10) núcleos</w:t>
      </w:r>
      <w:r>
        <w:rPr>
          <w:rFonts w:ascii="Arial" w:eastAsia="Arial" w:hAnsi="Arial" w:cs="Arial"/>
          <w:sz w:val="20"/>
          <w:szCs w:val="20"/>
        </w:rPr>
        <w:t xml:space="preserve"> y el mismo motor neuronal, sin que ello represente una disminución significativa en el desempeño del equipo para las actividades propias del objeto contractual.</w:t>
      </w:r>
    </w:p>
    <w:p w14:paraId="4A19B058"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En este sentido, agradecemos al </w:t>
      </w:r>
      <w:r>
        <w:rPr>
          <w:rFonts w:ascii="Arial" w:eastAsia="Arial" w:hAnsi="Arial" w:cs="Arial"/>
          <w:b/>
          <w:bCs/>
          <w:sz w:val="20"/>
          <w:szCs w:val="20"/>
        </w:rPr>
        <w:t>Comitente Comprador</w:t>
      </w:r>
      <w:r>
        <w:rPr>
          <w:rFonts w:ascii="Arial" w:eastAsia="Arial" w:hAnsi="Arial" w:cs="Arial"/>
          <w:sz w:val="20"/>
          <w:szCs w:val="20"/>
        </w:rPr>
        <w:t xml:space="preserve"> indicar si el requisito debe entenderse como:</w:t>
      </w:r>
    </w:p>
    <w:p w14:paraId="568F00B3" w14:textId="77777777" w:rsidR="00BE6367" w:rsidRDefault="00C90F6A">
      <w:pPr>
        <w:numPr>
          <w:ilvl w:val="0"/>
          <w:numId w:val="62"/>
        </w:numPr>
        <w:jc w:val="both"/>
        <w:rPr>
          <w:rFonts w:ascii="Calibri" w:eastAsia="Calibri" w:hAnsi="Calibri" w:cs="Calibri"/>
        </w:rPr>
      </w:pPr>
      <w:r>
        <w:rPr>
          <w:rFonts w:ascii="Arial" w:eastAsia="Arial" w:hAnsi="Arial" w:cs="Arial"/>
          <w:b/>
          <w:bCs/>
          <w:sz w:val="20"/>
          <w:szCs w:val="20"/>
        </w:rPr>
        <w:t>Un motor neuronal con un mínimo de dieciséis (16) núcleos físicos</w:t>
      </w:r>
      <w:r>
        <w:rPr>
          <w:rFonts w:ascii="Arial" w:eastAsia="Arial" w:hAnsi="Arial" w:cs="Arial"/>
          <w:sz w:val="20"/>
          <w:szCs w:val="20"/>
        </w:rPr>
        <w:t xml:space="preserve">, correspondiente a la arquitectura disponible en procesadores de última generación para equipos portátiles; o </w:t>
      </w:r>
    </w:p>
    <w:p w14:paraId="471ABFF9" w14:textId="77777777" w:rsidR="00BE6367" w:rsidRDefault="00C90F6A">
      <w:pPr>
        <w:numPr>
          <w:ilvl w:val="0"/>
          <w:numId w:val="62"/>
        </w:numPr>
        <w:jc w:val="both"/>
        <w:rPr>
          <w:rFonts w:ascii="Calibri" w:eastAsia="Calibri" w:hAnsi="Calibri" w:cs="Calibri"/>
        </w:rPr>
      </w:pPr>
      <w:r>
        <w:rPr>
          <w:rFonts w:ascii="Arial" w:eastAsia="Arial" w:hAnsi="Arial" w:cs="Arial"/>
          <w:b/>
          <w:bCs/>
          <w:sz w:val="20"/>
          <w:szCs w:val="20"/>
        </w:rPr>
        <w:t>Una capacidad equivalente de treinta y dos (32) núcleos mediante tecnologías de aceleración neuronal integradas por hardware</w:t>
      </w:r>
      <w:r>
        <w:rPr>
          <w:rFonts w:ascii="Arial" w:eastAsia="Arial" w:hAnsi="Arial" w:cs="Arial"/>
          <w:sz w:val="20"/>
          <w:szCs w:val="20"/>
        </w:rPr>
        <w:t xml:space="preserve">, independientemente del número de núcleos físicos que implemente el fabricante. </w:t>
      </w:r>
    </w:p>
    <w:p w14:paraId="68439157"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En caso de que la intención del </w:t>
      </w:r>
      <w:r>
        <w:rPr>
          <w:rFonts w:ascii="Arial" w:eastAsia="Arial" w:hAnsi="Arial" w:cs="Arial"/>
          <w:b/>
          <w:bCs/>
          <w:sz w:val="20"/>
          <w:szCs w:val="20"/>
        </w:rPr>
        <w:t>Comitente Comprador</w:t>
      </w:r>
      <w:r>
        <w:rPr>
          <w:rFonts w:ascii="Arial" w:eastAsia="Arial" w:hAnsi="Arial" w:cs="Arial"/>
          <w:sz w:val="20"/>
          <w:szCs w:val="20"/>
        </w:rPr>
        <w:t xml:space="preserve"> sea exigir únicamente el número de núcleos físicos, respetuosamente sugerimos modificar la especificación de la siguiente manera:</w:t>
      </w:r>
    </w:p>
    <w:p w14:paraId="032BA74D" w14:textId="77777777" w:rsidR="00BE6367" w:rsidRDefault="00C90F6A">
      <w:pPr>
        <w:jc w:val="both"/>
        <w:rPr>
          <w:rFonts w:ascii="Arial" w:eastAsia="Arial" w:hAnsi="Arial" w:cs="Arial"/>
          <w:sz w:val="20"/>
          <w:szCs w:val="20"/>
        </w:rPr>
      </w:pPr>
      <w:r>
        <w:rPr>
          <w:rFonts w:ascii="Arial" w:eastAsia="Arial" w:hAnsi="Arial" w:cs="Arial"/>
          <w:b/>
          <w:bCs/>
          <w:sz w:val="20"/>
          <w:szCs w:val="20"/>
        </w:rPr>
        <w:t>"CPU de mínimo nueve (9) núcleos, GPU integrada de mínimo diez (10) núcleos. Deberá incluir acelerador y un motor neuronales dedicado con un mínimo de dieciséis (16) núcleos físicos."</w:t>
      </w:r>
    </w:p>
    <w:p w14:paraId="3CBDEFA4"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Lo anterior permitirá la participación de configuraciones comerciales con </w:t>
      </w:r>
      <w:r>
        <w:rPr>
          <w:rFonts w:ascii="Arial" w:eastAsia="Arial" w:hAnsi="Arial" w:cs="Arial"/>
          <w:b/>
          <w:bCs/>
          <w:sz w:val="20"/>
          <w:szCs w:val="20"/>
        </w:rPr>
        <w:t>512 GB de almacenamiento y 12 GB de memoria unificada</w:t>
      </w:r>
      <w:r>
        <w:rPr>
          <w:rFonts w:ascii="Arial" w:eastAsia="Arial" w:hAnsi="Arial" w:cs="Arial"/>
          <w:sz w:val="20"/>
          <w:szCs w:val="20"/>
        </w:rPr>
        <w:t xml:space="preserve">, las cuales, por diseño del fabricante, incorporan una CPU de nueve (9) núcleos, sin afectar el desempeño, las capacidades de Inteligencia Artificial ni la funcionalidad requerida por el </w:t>
      </w:r>
      <w:r>
        <w:rPr>
          <w:rFonts w:ascii="Arial" w:eastAsia="Arial" w:hAnsi="Arial" w:cs="Arial"/>
          <w:b/>
          <w:bCs/>
          <w:sz w:val="20"/>
          <w:szCs w:val="20"/>
        </w:rPr>
        <w:t>Comitente Comprador</w:t>
      </w:r>
      <w:r>
        <w:rPr>
          <w:rFonts w:ascii="Arial" w:eastAsia="Arial" w:hAnsi="Arial" w:cs="Arial"/>
          <w:sz w:val="20"/>
          <w:szCs w:val="20"/>
        </w:rPr>
        <w:t>.</w:t>
      </w:r>
    </w:p>
    <w:p w14:paraId="5D9F4909"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Esta aclaración permitirá una interpretación unívoca del requisito y evitará inconvenientes en la presentación y evaluación de las ofertas, garantizando a su vez la pluralidad de oferentes sin afectar la capacidad de procesamiento de Inteligencia Artificial requerida por el </w:t>
      </w:r>
      <w:r>
        <w:rPr>
          <w:rFonts w:ascii="Arial" w:eastAsia="Arial" w:hAnsi="Arial" w:cs="Arial"/>
          <w:b/>
          <w:bCs/>
          <w:sz w:val="20"/>
          <w:szCs w:val="20"/>
        </w:rPr>
        <w:t>Comitente Comprador</w:t>
      </w:r>
      <w:r>
        <w:rPr>
          <w:rFonts w:ascii="Arial" w:eastAsia="Arial" w:hAnsi="Arial" w:cs="Arial"/>
          <w:sz w:val="20"/>
          <w:szCs w:val="20"/>
        </w:rPr>
        <w:t>.</w:t>
      </w:r>
    </w:p>
    <w:p w14:paraId="42C1C2AC"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1E56299C"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Se acepta parcialmente la observación, teniendo en cuenta la disponibilidad de este tipo de procesadores en el mercado y las características que pueden suplir las necesidades de los usuarios. El requerimiento quedará establecido de la siguiente manera: CPU de 9 núcleos </w:t>
      </w:r>
      <w:r>
        <w:rPr>
          <w:rFonts w:ascii="Arial" w:eastAsia="Arial" w:hAnsi="Arial" w:cs="Arial"/>
          <w:sz w:val="20"/>
          <w:szCs w:val="20"/>
        </w:rPr>
        <w:lastRenderedPageBreak/>
        <w:t>mínimo, GPU integrada con 10 núcleos mínimo, motor neuronal dedicado con capacidad mínima de 16 núcleos o superior, fecha de lanzamiento posterior al segundo trimestre de 2025.</w:t>
      </w:r>
    </w:p>
    <w:p w14:paraId="6A871970" w14:textId="77777777" w:rsidR="00BE6367" w:rsidRDefault="00C90F6A">
      <w:pPr>
        <w:jc w:val="both"/>
        <w:rPr>
          <w:rFonts w:ascii="Arial" w:eastAsia="Arial" w:hAnsi="Arial" w:cs="Arial"/>
          <w:sz w:val="20"/>
          <w:szCs w:val="20"/>
        </w:rPr>
      </w:pPr>
      <w:r>
        <w:rPr>
          <w:rFonts w:ascii="Arial" w:eastAsia="Arial" w:hAnsi="Arial" w:cs="Arial"/>
          <w:b/>
          <w:bCs/>
          <w:sz w:val="20"/>
          <w:szCs w:val="20"/>
        </w:rPr>
        <w:t>ITEM: AUDIFONO CON MICRÓFONO (DIADEMA):</w:t>
      </w:r>
    </w:p>
    <w:p w14:paraId="5BE7E0BC" w14:textId="77777777" w:rsidR="00BE6367" w:rsidRDefault="00C90F6A">
      <w:pPr>
        <w:jc w:val="both"/>
        <w:rPr>
          <w:rFonts w:ascii="Arial" w:eastAsia="Arial" w:hAnsi="Arial" w:cs="Arial"/>
          <w:sz w:val="20"/>
          <w:szCs w:val="20"/>
        </w:rPr>
      </w:pPr>
      <w:r>
        <w:rPr>
          <w:rFonts w:ascii="Arial" w:eastAsia="Arial" w:hAnsi="Arial" w:cs="Arial"/>
          <w:b/>
          <w:bCs/>
          <w:sz w:val="20"/>
          <w:szCs w:val="20"/>
        </w:rPr>
        <w:t>Observación 21– AUDIFONO CON MICRÓFONO (DIADEMA):</w:t>
      </w:r>
    </w:p>
    <w:p w14:paraId="69A58095"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En el requisito de </w:t>
      </w:r>
      <w:r>
        <w:rPr>
          <w:rFonts w:ascii="Arial" w:eastAsia="Arial" w:hAnsi="Arial" w:cs="Arial"/>
          <w:b/>
          <w:bCs/>
          <w:sz w:val="20"/>
          <w:szCs w:val="20"/>
        </w:rPr>
        <w:t>Alimentación</w:t>
      </w:r>
      <w:r>
        <w:rPr>
          <w:rFonts w:ascii="Arial" w:eastAsia="Arial" w:hAnsi="Arial" w:cs="Arial"/>
          <w:sz w:val="20"/>
          <w:szCs w:val="20"/>
        </w:rPr>
        <w:t xml:space="preserve"> se establece una </w:t>
      </w:r>
      <w:r>
        <w:rPr>
          <w:rFonts w:ascii="Arial" w:eastAsia="Arial" w:hAnsi="Arial" w:cs="Arial"/>
          <w:b/>
          <w:bCs/>
          <w:sz w:val="20"/>
          <w:szCs w:val="20"/>
        </w:rPr>
        <w:t>"batería de duración de hasta 22 horas"</w:t>
      </w:r>
      <w:r>
        <w:rPr>
          <w:rFonts w:ascii="Arial" w:eastAsia="Arial" w:hAnsi="Arial" w:cs="Arial"/>
          <w:sz w:val="20"/>
          <w:szCs w:val="20"/>
        </w:rPr>
        <w:t xml:space="preserve">. Al respecto, se solicita a la Entidad aclarar si </w:t>
      </w:r>
      <w:r>
        <w:rPr>
          <w:rFonts w:ascii="Arial" w:eastAsia="Arial" w:hAnsi="Arial" w:cs="Arial"/>
          <w:b/>
          <w:bCs/>
          <w:sz w:val="20"/>
          <w:szCs w:val="20"/>
        </w:rPr>
        <w:t>también serán aceptadas diademas con una autonomía de batería superior a las 22 horas</w:t>
      </w:r>
      <w:r>
        <w:rPr>
          <w:rFonts w:ascii="Arial" w:eastAsia="Arial" w:hAnsi="Arial" w:cs="Arial"/>
          <w:sz w:val="20"/>
          <w:szCs w:val="20"/>
        </w:rPr>
        <w:t>, considerando que la duración de la batería varía en función del modo de operación, de acuerdo con las especificaciones del fabricante.</w:t>
      </w:r>
    </w:p>
    <w:p w14:paraId="0D42D0BD"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En ese sentido, agradeceremos confirmar que </w:t>
      </w:r>
      <w:r>
        <w:rPr>
          <w:rFonts w:ascii="Arial" w:eastAsia="Arial" w:hAnsi="Arial" w:cs="Arial"/>
          <w:b/>
          <w:bCs/>
          <w:sz w:val="20"/>
          <w:szCs w:val="20"/>
        </w:rPr>
        <w:t>serán aceptadas diademas con una autonomía igual o mayor a la indicada</w:t>
      </w:r>
      <w:r>
        <w:rPr>
          <w:rFonts w:ascii="Arial" w:eastAsia="Arial" w:hAnsi="Arial" w:cs="Arial"/>
          <w:sz w:val="20"/>
          <w:szCs w:val="20"/>
        </w:rPr>
        <w:t>, por representar una mejora en el desempeño del producto y no afectar el cumplimiento de las demás especificaciones técnicas requeridas.</w:t>
      </w:r>
    </w:p>
    <w:p w14:paraId="574E98C2"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LA OBSERVACIÓN:</w:t>
      </w:r>
      <w:r>
        <w:rPr>
          <w:rFonts w:ascii="Arial" w:eastAsia="Arial" w:hAnsi="Arial" w:cs="Arial"/>
          <w:sz w:val="20"/>
          <w:szCs w:val="20"/>
        </w:rPr>
        <w:t xml:space="preserve"> Se aclara que la duración de la batería será validada conforme a las especificaciones oficiales del fabricante, independientemente del modo de operación bajo el cual haya sido determinada, siempre que se acredite el cumplimiento de la autonomía establecida en la ficha técnica y de los demás requisitos técnicos exigidos.</w:t>
      </w:r>
    </w:p>
    <w:p w14:paraId="7D4729DB" w14:textId="77777777" w:rsidR="00BE6367" w:rsidRDefault="00C90F6A">
      <w:pPr>
        <w:jc w:val="both"/>
        <w:rPr>
          <w:rFonts w:ascii="Arial" w:eastAsia="Arial" w:hAnsi="Arial" w:cs="Arial"/>
          <w:sz w:val="20"/>
          <w:szCs w:val="20"/>
        </w:rPr>
      </w:pPr>
      <w:r>
        <w:rPr>
          <w:rFonts w:ascii="Arial" w:eastAsia="Arial" w:hAnsi="Arial" w:cs="Arial"/>
          <w:b/>
          <w:bCs/>
          <w:sz w:val="20"/>
          <w:szCs w:val="20"/>
        </w:rPr>
        <w:t>ITEM: TARJETAS DE MEMORIA:</w:t>
      </w:r>
    </w:p>
    <w:p w14:paraId="2E1DBF87"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22-TARJETAS DE MEMORIA:</w:t>
      </w:r>
    </w:p>
    <w:p w14:paraId="46497961"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En las especificaciones técnicas del accesorio </w:t>
      </w:r>
      <w:r>
        <w:rPr>
          <w:rFonts w:ascii="Arial" w:eastAsia="Arial" w:hAnsi="Arial" w:cs="Arial"/>
          <w:b/>
          <w:bCs/>
          <w:sz w:val="20"/>
          <w:szCs w:val="20"/>
        </w:rPr>
        <w:t>"Tarjetas de memoria SD de 128 GB, velocidad de escritura de más de 90 MB/s, material robusto, resistente a golpes"</w:t>
      </w:r>
      <w:r>
        <w:rPr>
          <w:rFonts w:ascii="Arial" w:eastAsia="Arial" w:hAnsi="Arial" w:cs="Arial"/>
          <w:sz w:val="20"/>
          <w:szCs w:val="20"/>
        </w:rPr>
        <w:t xml:space="preserve">, se solicita a la Entidad </w:t>
      </w:r>
      <w:r>
        <w:rPr>
          <w:rFonts w:ascii="Arial" w:eastAsia="Arial" w:hAnsi="Arial" w:cs="Arial"/>
          <w:b/>
          <w:bCs/>
          <w:sz w:val="20"/>
          <w:szCs w:val="20"/>
        </w:rPr>
        <w:t>precisar el equipo, dispositivo o aplicación para el cual serán destinadas dichas tarjetas de memoria</w:t>
      </w:r>
      <w:r>
        <w:rPr>
          <w:rFonts w:ascii="Arial" w:eastAsia="Arial" w:hAnsi="Arial" w:cs="Arial"/>
          <w:sz w:val="20"/>
          <w:szCs w:val="20"/>
        </w:rPr>
        <w:t>, o, en su defecto, indicar si existe algún requisito de compatibilidad específico.</w:t>
      </w:r>
    </w:p>
    <w:p w14:paraId="0BC26831" w14:textId="77777777" w:rsidR="00BE6367" w:rsidRDefault="00C90F6A">
      <w:pPr>
        <w:jc w:val="both"/>
        <w:rPr>
          <w:rFonts w:ascii="Arial" w:eastAsia="Arial" w:hAnsi="Arial" w:cs="Arial"/>
          <w:sz w:val="20"/>
          <w:szCs w:val="20"/>
        </w:rPr>
      </w:pPr>
      <w:r>
        <w:rPr>
          <w:rFonts w:ascii="Arial" w:eastAsia="Arial" w:hAnsi="Arial" w:cs="Arial"/>
          <w:sz w:val="20"/>
          <w:szCs w:val="20"/>
        </w:rPr>
        <w:t>Lo anterior permitirá a los proponentes ofertar tarjetas de memoria plenamente compatibles con el uso previsto por la Entidad, garantizando el correcto funcionamiento y evitando interpretaciones distintas durante la evaluación de las ofertas.</w:t>
      </w:r>
    </w:p>
    <w:p w14:paraId="3C23CD22"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44816712" w14:textId="77777777" w:rsidR="00BE6367" w:rsidRDefault="00C90F6A">
      <w:pPr>
        <w:jc w:val="both"/>
        <w:rPr>
          <w:rFonts w:ascii="Arial" w:eastAsia="Arial" w:hAnsi="Arial" w:cs="Arial"/>
          <w:sz w:val="20"/>
          <w:szCs w:val="20"/>
        </w:rPr>
      </w:pPr>
      <w:r>
        <w:rPr>
          <w:rFonts w:ascii="Arial" w:eastAsia="Arial" w:hAnsi="Arial" w:cs="Arial"/>
          <w:sz w:val="20"/>
          <w:szCs w:val="20"/>
        </w:rPr>
        <w:t>Se aclara que las especificaciones mínimas requeridas para las tarjetas de memoria corresponden a las establecidas en la respectiva ficha técnica de producto. En consecuencia, los oferentes deberán presentar una solución que cumpla con dichas características mínimas, garantizando su compatibilidad y adecuado funcionamiento conforme a las necesidades previstas para el presente proceso.</w:t>
      </w:r>
    </w:p>
    <w:p w14:paraId="335BEF96" w14:textId="77777777" w:rsidR="00BE6367" w:rsidRDefault="00BE6367">
      <w:pPr>
        <w:pBdr>
          <w:top w:val="nil"/>
          <w:left w:val="nil"/>
          <w:bottom w:val="nil"/>
          <w:right w:val="nil"/>
          <w:between w:val="nil"/>
        </w:pBdr>
        <w:spacing w:line="240" w:lineRule="auto"/>
        <w:jc w:val="both"/>
        <w:rPr>
          <w:rFonts w:ascii="Arial" w:eastAsia="Arial" w:hAnsi="Arial" w:cs="Arial"/>
          <w:color w:val="000000"/>
          <w:sz w:val="20"/>
          <w:szCs w:val="20"/>
        </w:rPr>
      </w:pPr>
    </w:p>
    <w:p w14:paraId="6903235C" w14:textId="77777777" w:rsidR="00BE6367" w:rsidRDefault="00C90F6A">
      <w:pPr>
        <w:pBdr>
          <w:top w:val="nil"/>
          <w:left w:val="nil"/>
          <w:bottom w:val="nil"/>
          <w:right w:val="nil"/>
          <w:between w:val="nil"/>
        </w:pBdr>
        <w:spacing w:line="240" w:lineRule="auto"/>
        <w:jc w:val="both"/>
        <w:rPr>
          <w:rFonts w:ascii="Arial" w:eastAsia="Arial" w:hAnsi="Arial" w:cs="Arial"/>
          <w:color w:val="000000"/>
          <w:sz w:val="20"/>
          <w:szCs w:val="20"/>
        </w:rPr>
      </w:pPr>
      <w:r>
        <w:rPr>
          <w:rFonts w:ascii="Arial" w:eastAsia="Arial" w:hAnsi="Arial" w:cs="Arial"/>
          <w:b/>
          <w:bCs/>
          <w:color w:val="000000"/>
          <w:sz w:val="20"/>
          <w:szCs w:val="20"/>
        </w:rPr>
        <w:t>ITEM: SOFTWARE DE AUDIENCIAS:</w:t>
      </w:r>
    </w:p>
    <w:p w14:paraId="38706068" w14:textId="77777777" w:rsidR="00BE6367" w:rsidRDefault="00BE6367">
      <w:pPr>
        <w:jc w:val="both"/>
        <w:rPr>
          <w:rFonts w:ascii="Arial" w:eastAsia="Arial" w:hAnsi="Arial" w:cs="Arial"/>
          <w:sz w:val="20"/>
          <w:szCs w:val="20"/>
        </w:rPr>
      </w:pPr>
    </w:p>
    <w:p w14:paraId="4A2F4368"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23:</w:t>
      </w:r>
    </w:p>
    <w:p w14:paraId="1239CD84" w14:textId="77777777" w:rsidR="00BE6367" w:rsidRDefault="00C90F6A">
      <w:pPr>
        <w:jc w:val="both"/>
        <w:rPr>
          <w:rFonts w:ascii="Arial" w:eastAsia="Arial" w:hAnsi="Arial" w:cs="Arial"/>
          <w:sz w:val="20"/>
          <w:szCs w:val="20"/>
        </w:rPr>
      </w:pPr>
      <w:r>
        <w:rPr>
          <w:rFonts w:ascii="Arial" w:eastAsia="Arial" w:hAnsi="Arial" w:cs="Arial"/>
          <w:sz w:val="20"/>
          <w:szCs w:val="20"/>
        </w:rPr>
        <w:t>Solicitamos a la entidad, se aclare cuál es el tiempo de contrato del software de audiencias</w:t>
      </w:r>
    </w:p>
    <w:p w14:paraId="4E8E0789" w14:textId="77777777" w:rsidR="00BE6367" w:rsidRDefault="00C90F6A">
      <w:pPr>
        <w:jc w:val="both"/>
        <w:rPr>
          <w:rFonts w:ascii="Arial" w:eastAsia="Arial" w:hAnsi="Arial" w:cs="Arial"/>
          <w:sz w:val="20"/>
          <w:szCs w:val="20"/>
        </w:rPr>
      </w:pPr>
      <w:r>
        <w:rPr>
          <w:rFonts w:ascii="Arial" w:eastAsia="Arial" w:hAnsi="Arial" w:cs="Arial"/>
          <w:b/>
          <w:bCs/>
          <w:sz w:val="20"/>
          <w:szCs w:val="20"/>
        </w:rPr>
        <w:t xml:space="preserve">RESPUESTA A LA OBSERVACIÓN: </w:t>
      </w:r>
      <w:r>
        <w:rPr>
          <w:rFonts w:ascii="Arial" w:eastAsia="Arial" w:hAnsi="Arial" w:cs="Arial"/>
          <w:sz w:val="20"/>
          <w:szCs w:val="20"/>
        </w:rPr>
        <w:t xml:space="preserve">El contrato para el software de gestión de audiencias debe contemplarse por un plazo inicial de doce (12) meses, prorrogable por períodos iguales o superiores, cubriendo licenciamiento, soporte y mantenimiento de la solución durante la vigencia contratada. </w:t>
      </w:r>
    </w:p>
    <w:p w14:paraId="39C3F0A8"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24:</w:t>
      </w:r>
    </w:p>
    <w:p w14:paraId="2CF4275D"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Solicitamos a la entidad, confirmar el tiempo de implementación para salida a producción con la solución de software de audiencias.</w:t>
      </w:r>
    </w:p>
    <w:p w14:paraId="2D96D575"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LA OBSERVACIÓN:</w:t>
      </w:r>
      <w:r>
        <w:rPr>
          <w:rFonts w:ascii="Arial" w:eastAsia="Arial" w:hAnsi="Arial" w:cs="Arial"/>
          <w:sz w:val="20"/>
          <w:szCs w:val="20"/>
        </w:rPr>
        <w:t xml:space="preserve"> La salida a producción de la solución de software de gestión de audiencias se espera que sea en máximo ocho (8) semanas, contadas a partir de la firma del acta de inicio.</w:t>
      </w:r>
    </w:p>
    <w:p w14:paraId="0E87A59A"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25:</w:t>
      </w:r>
    </w:p>
    <w:p w14:paraId="04E8ABFD" w14:textId="77777777" w:rsidR="00BE6367" w:rsidRDefault="00C90F6A">
      <w:pPr>
        <w:jc w:val="both"/>
        <w:rPr>
          <w:rFonts w:ascii="Arial" w:eastAsia="Arial" w:hAnsi="Arial" w:cs="Arial"/>
          <w:sz w:val="20"/>
          <w:szCs w:val="20"/>
        </w:rPr>
      </w:pPr>
      <w:r>
        <w:rPr>
          <w:rFonts w:ascii="Arial" w:eastAsia="Arial" w:hAnsi="Arial" w:cs="Arial"/>
          <w:sz w:val="20"/>
          <w:szCs w:val="20"/>
        </w:rPr>
        <w:t>Solicitamos a la entidad, Por favor confirmar si los servidores y recursos computacionales serán suministrados por la entidad o serán parte del servicio de grabación de audiencias</w:t>
      </w:r>
    </w:p>
    <w:p w14:paraId="6D1AAE5F"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LA OBSERVACIÓN:</w:t>
      </w:r>
      <w:r>
        <w:rPr>
          <w:rFonts w:ascii="Arial" w:eastAsia="Arial" w:hAnsi="Arial" w:cs="Arial"/>
          <w:sz w:val="20"/>
          <w:szCs w:val="20"/>
        </w:rPr>
        <w:t>La solución deberá soportar despliegue tanto on-premise como en nube. Para el presente proceso, la modalidad de despliegue será on-premise, en infraestructura de servidores que deberá ser suministrada por el contratista dentro del alcance y presupuesto del presente proceso, la cual se instalará en las instalaciones de la Entidad, de modo que las grabaciones y su custodia permanezcan bajo el control directo de la Entidad.</w:t>
      </w:r>
    </w:p>
    <w:p w14:paraId="33A06BD2"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provisión de los servidores y recursos computacionales necesarios para el despliegue on-premise de la solución de grabación de audiencias se encuentra dentro del alcance del presente proceso y deberá ser incluida por el proponente dentro de su oferta económica</w:t>
      </w:r>
    </w:p>
    <w:p w14:paraId="2C553420"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26:</w:t>
      </w:r>
    </w:p>
    <w:p w14:paraId="5BBD8B7C" w14:textId="77777777" w:rsidR="00BE6367" w:rsidRDefault="00C90F6A">
      <w:pPr>
        <w:jc w:val="both"/>
        <w:rPr>
          <w:rFonts w:ascii="Arial" w:eastAsia="Arial" w:hAnsi="Arial" w:cs="Arial"/>
          <w:sz w:val="20"/>
          <w:szCs w:val="20"/>
        </w:rPr>
      </w:pPr>
      <w:r>
        <w:rPr>
          <w:rFonts w:ascii="Arial" w:eastAsia="Arial" w:hAnsi="Arial" w:cs="Arial"/>
          <w:sz w:val="20"/>
          <w:szCs w:val="20"/>
        </w:rPr>
        <w:t>Solicitamos a la entidad, aclarar si el servicio debe contar con soporte 5x8 o 7x24? asimismo por favor confirmar si se requiere soporte de fabricante en sitio?</w:t>
      </w:r>
    </w:p>
    <w:p w14:paraId="119D086A"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5058815B" w14:textId="77777777" w:rsidR="00BE6367" w:rsidRDefault="00C90F6A">
      <w:pPr>
        <w:jc w:val="both"/>
        <w:rPr>
          <w:rFonts w:ascii="Arial" w:eastAsia="Arial" w:hAnsi="Arial" w:cs="Arial"/>
          <w:sz w:val="20"/>
          <w:szCs w:val="20"/>
        </w:rPr>
      </w:pPr>
      <w:r>
        <w:rPr>
          <w:rFonts w:ascii="Arial" w:eastAsia="Arial" w:hAnsi="Arial" w:cs="Arial"/>
          <w:sz w:val="20"/>
          <w:szCs w:val="20"/>
        </w:rPr>
        <w:t>La Entidad se permite aclarar que las condiciones de soporte y garantía se encuentran previstas en la Ficha Técnica de Negociación y en las fichas técnicas particulares de los productos.</w:t>
      </w:r>
    </w:p>
    <w:p w14:paraId="6E675866"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 xml:space="preserve">De manera general, la Ficha Técnica de Negociación establece que el soporte y la garantía de calidad de los equipos deberán prestarse en el sitio de instalación durante el periodo definido. </w:t>
      </w:r>
    </w:p>
    <w:p w14:paraId="0DB720D1"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Asimismo, la FTN establece que el servicio deberá prestarse, como mínimo, en horario de 7:00 a. m. a 6:00 p. m. durante los días hábiles, a lo largo del periodo de garantía contratado. En consecuencia, la condición general no corresponde estrictamente a un esquema 5x8, puesto que contempla una ventana mínima de atención de once horas durante cada día hábil.</w:t>
      </w:r>
    </w:p>
    <w:p w14:paraId="4572AACC"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cuanto al soporte en sitio, se confirma que este es requerido. La garantía deberá atenderse en modalidad ON SITE, con cobertura de mano de obra y repuestos, y el comitente vendedor será responsable de coordinar y prestar la atención en el lugar donde se encuentre instalado el equipo.</w:t>
      </w:r>
    </w:p>
    <w:p w14:paraId="5B0F28C7"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aclara que el requisito no dispone, de manera general, que el técnico que se desplace al sitio deba ser empleado directo del fabricante. La responsabilidad frente a la Entidad corresponde al comitente vendedor, quien deberá garantizar la atención con personal autorizado y con el respaldo del fabricante cuando así lo exija la ficha técnica del producto.</w:t>
      </w:r>
    </w:p>
    <w:p w14:paraId="6F9C3DDF"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Por lo anterior, se aclara que el horario general mínimo de soporte es de 7:00 a. m. a 6:00 p. m. en días hábiles, sin perjuicio de las condiciones particulares de atención 24x7 establecidas para determinados productos, y que sí se requiere soporte técnico en sitio bajo responsabilidad del comitente vendedor.</w:t>
      </w:r>
    </w:p>
    <w:p w14:paraId="57FE7D36" w14:textId="77777777" w:rsidR="00BE6367" w:rsidRDefault="00BE6367">
      <w:pPr>
        <w:jc w:val="both"/>
        <w:rPr>
          <w:rFonts w:ascii="Arial" w:eastAsia="Arial" w:hAnsi="Arial" w:cs="Arial"/>
          <w:sz w:val="20"/>
          <w:szCs w:val="20"/>
        </w:rPr>
      </w:pPr>
    </w:p>
    <w:p w14:paraId="59165B5B" w14:textId="77777777" w:rsidR="00BE6367" w:rsidRDefault="00C90F6A">
      <w:pPr>
        <w:jc w:val="both"/>
        <w:rPr>
          <w:rFonts w:ascii="Arial" w:eastAsia="Arial" w:hAnsi="Arial" w:cs="Arial"/>
          <w:b/>
          <w:bCs/>
          <w:sz w:val="20"/>
          <w:szCs w:val="20"/>
        </w:rPr>
      </w:pPr>
      <w:r>
        <w:rPr>
          <w:rFonts w:ascii="Arial" w:eastAsia="Arial" w:hAnsi="Arial" w:cs="Arial"/>
          <w:b/>
          <w:bCs/>
          <w:sz w:val="20"/>
          <w:szCs w:val="20"/>
        </w:rPr>
        <w:lastRenderedPageBreak/>
        <w:t>Observación 27:</w:t>
      </w:r>
    </w:p>
    <w:p w14:paraId="49BB8AA0" w14:textId="77777777" w:rsidR="00BE6367" w:rsidRDefault="00C90F6A">
      <w:pPr>
        <w:jc w:val="both"/>
        <w:rPr>
          <w:rFonts w:ascii="Arial" w:eastAsia="Arial" w:hAnsi="Arial" w:cs="Arial"/>
          <w:sz w:val="20"/>
          <w:szCs w:val="20"/>
        </w:rPr>
      </w:pPr>
      <w:r>
        <w:rPr>
          <w:rFonts w:ascii="Arial" w:eastAsia="Arial" w:hAnsi="Arial" w:cs="Arial"/>
          <w:sz w:val="20"/>
          <w:szCs w:val="20"/>
        </w:rPr>
        <w:t>Solicitamos a la entidad aclarar :¿Cuáles son los canales de streaming a los que el cliente desea enviar la señal de video?</w:t>
      </w:r>
    </w:p>
    <w:p w14:paraId="3AC1EA6D"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3C4B2A52"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La solución deberá permitir grabar y, opcionalmente, retransmitir la señal de video mediante protocolos estándar (RTMP/HLS), compatibles con las plataformas de streaming de uso común (tales como YouTube, portal institucional, u otras de similar naturaleza). El canal o canales específicos de destino serán definidos por la Entidad durante la etapa de implementación del contrato, sin que ello implique una modificación del alcance técnico exigido, el cual se circunscribe a que la solución cuente con la capacidad de transmisión mediante dichos protocolos estándar hacia cualquier plataforma compatible que la Entidad determine. </w:t>
      </w:r>
    </w:p>
    <w:p w14:paraId="2AA353A6" w14:textId="77777777" w:rsidR="00BE6367" w:rsidRDefault="00BE6367">
      <w:pPr>
        <w:jc w:val="both"/>
        <w:rPr>
          <w:rFonts w:ascii="Arial" w:eastAsia="Arial" w:hAnsi="Arial" w:cs="Arial"/>
          <w:sz w:val="20"/>
          <w:szCs w:val="20"/>
        </w:rPr>
      </w:pPr>
    </w:p>
    <w:p w14:paraId="56CCC232" w14:textId="77777777" w:rsidR="00BE6367" w:rsidRDefault="00C90F6A">
      <w:pPr>
        <w:jc w:val="both"/>
        <w:rPr>
          <w:rFonts w:ascii="Arial" w:eastAsia="Arial" w:hAnsi="Arial" w:cs="Arial"/>
          <w:sz w:val="20"/>
          <w:szCs w:val="20"/>
        </w:rPr>
      </w:pPr>
      <w:r>
        <w:rPr>
          <w:rFonts w:ascii="Arial" w:eastAsia="Arial" w:hAnsi="Arial" w:cs="Arial"/>
          <w:b/>
          <w:bCs/>
          <w:sz w:val="20"/>
          <w:szCs w:val="20"/>
        </w:rPr>
        <w:t>Observación 28:</w:t>
      </w:r>
    </w:p>
    <w:p w14:paraId="0842EF87" w14:textId="77777777" w:rsidR="00BE6367" w:rsidRDefault="00C90F6A">
      <w:pPr>
        <w:jc w:val="both"/>
        <w:rPr>
          <w:rFonts w:ascii="Arial" w:eastAsia="Arial" w:hAnsi="Arial" w:cs="Arial"/>
          <w:sz w:val="20"/>
          <w:szCs w:val="20"/>
        </w:rPr>
      </w:pPr>
      <w:r>
        <w:rPr>
          <w:rFonts w:ascii="Arial" w:eastAsia="Arial" w:hAnsi="Arial" w:cs="Arial"/>
          <w:sz w:val="20"/>
          <w:szCs w:val="20"/>
        </w:rPr>
        <w:t>¿Qué tipo de fuentes análogas y digitales tiene el cliente o si hace referencia a que el sistema debe contar para futuras integraciones?</w:t>
      </w:r>
    </w:p>
    <w:p w14:paraId="0AEBCF16"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13742595"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La solución deberá capturar de manera nativa fuentes digitales, correspondientes a sesiones de Microsoft Teams y dispositivos de video sobre IP. </w:t>
      </w:r>
    </w:p>
    <w:p w14:paraId="69D28D82"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Los detalles específicos de las conexiones (marcas, modelos, tipos de salida y demás características técnicas de los equipos a integrar) serán validados durante la etapa de implementación del contrato.</w:t>
      </w:r>
    </w:p>
    <w:p w14:paraId="4D8B9FE6" w14:textId="77777777" w:rsidR="00BE6367" w:rsidRDefault="00BE6367">
      <w:pPr>
        <w:jc w:val="both"/>
        <w:rPr>
          <w:rFonts w:ascii="Arial" w:eastAsia="Arial" w:hAnsi="Arial" w:cs="Arial"/>
          <w:sz w:val="20"/>
          <w:szCs w:val="20"/>
        </w:rPr>
      </w:pPr>
    </w:p>
    <w:p w14:paraId="00821512"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29:</w:t>
      </w:r>
    </w:p>
    <w:p w14:paraId="196F1734" w14:textId="77777777" w:rsidR="00BE6367" w:rsidRDefault="00C90F6A">
      <w:pPr>
        <w:jc w:val="both"/>
        <w:rPr>
          <w:rFonts w:ascii="Arial" w:eastAsia="Arial" w:hAnsi="Arial" w:cs="Arial"/>
          <w:sz w:val="20"/>
          <w:szCs w:val="20"/>
        </w:rPr>
      </w:pPr>
      <w:r>
        <w:rPr>
          <w:rFonts w:ascii="Arial" w:eastAsia="Arial" w:hAnsi="Arial" w:cs="Arial"/>
          <w:sz w:val="20"/>
          <w:szCs w:val="20"/>
        </w:rPr>
        <w:t>La búsqueda contextual y semántica debe ser con alguna IA especifica o puede ser la sugerida por el proveedor?. Se debe tener en cuenta que al ser un servicio de IA debe estar en nube o con salida a internet, a nivel de seguridad existe alguna condición o información que debamos tener como proveedores?</w:t>
      </w:r>
    </w:p>
    <w:p w14:paraId="55D9DA31" w14:textId="77777777" w:rsidR="00BE6367" w:rsidRDefault="00BE6367">
      <w:pPr>
        <w:jc w:val="both"/>
        <w:rPr>
          <w:rFonts w:ascii="Arial" w:eastAsia="Arial" w:hAnsi="Arial" w:cs="Arial"/>
          <w:sz w:val="20"/>
          <w:szCs w:val="20"/>
        </w:rPr>
      </w:pPr>
    </w:p>
    <w:p w14:paraId="219466E7" w14:textId="77777777" w:rsidR="00BE6367" w:rsidRDefault="00BE6367">
      <w:pPr>
        <w:jc w:val="both"/>
        <w:rPr>
          <w:rFonts w:ascii="Arial" w:eastAsia="Arial" w:hAnsi="Arial" w:cs="Arial"/>
          <w:sz w:val="20"/>
          <w:szCs w:val="20"/>
        </w:rPr>
      </w:pPr>
    </w:p>
    <w:p w14:paraId="553C66A9"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093B4AD3" w14:textId="77777777" w:rsidR="00BE6367" w:rsidRDefault="00C90F6A">
      <w:pPr>
        <w:jc w:val="both"/>
        <w:rPr>
          <w:rFonts w:ascii="Arial" w:eastAsia="Arial" w:hAnsi="Arial" w:cs="Arial"/>
          <w:sz w:val="20"/>
          <w:szCs w:val="20"/>
        </w:rPr>
      </w:pPr>
      <w:r>
        <w:rPr>
          <w:rFonts w:ascii="Arial" w:eastAsia="Arial" w:hAnsi="Arial" w:cs="Arial"/>
          <w:sz w:val="20"/>
          <w:szCs w:val="20"/>
        </w:rPr>
        <w:t>El sistema debe permitir consultas en lenguaje natural sobre el contenido de cada sesión (búsqueda semántica y contextual), ejecutadas íntegramente dentro de la infraestructura de la entidad, sin salida a internet y sin que el contenido de las audiencias sea enviado a servicios de terceros. La funcionalidad debe estar integrada de forma nativa en la plataforma</w:t>
      </w:r>
    </w:p>
    <w:p w14:paraId="42B22392" w14:textId="77777777" w:rsidR="00BE6367" w:rsidRDefault="00BE6367">
      <w:pPr>
        <w:jc w:val="both"/>
        <w:rPr>
          <w:rFonts w:ascii="Arial" w:eastAsia="Arial" w:hAnsi="Arial" w:cs="Arial"/>
          <w:sz w:val="20"/>
          <w:szCs w:val="20"/>
        </w:rPr>
      </w:pPr>
    </w:p>
    <w:p w14:paraId="470B643E"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30:</w:t>
      </w:r>
    </w:p>
    <w:p w14:paraId="1B116DF3" w14:textId="77777777" w:rsidR="00BE6367" w:rsidRDefault="00C90F6A">
      <w:pPr>
        <w:jc w:val="both"/>
        <w:rPr>
          <w:rFonts w:ascii="Arial" w:eastAsia="Arial" w:hAnsi="Arial" w:cs="Arial"/>
          <w:sz w:val="20"/>
          <w:szCs w:val="20"/>
        </w:rPr>
      </w:pPr>
      <w:r>
        <w:rPr>
          <w:rFonts w:ascii="Arial" w:eastAsia="Arial" w:hAnsi="Arial" w:cs="Arial"/>
          <w:sz w:val="20"/>
          <w:szCs w:val="20"/>
        </w:rPr>
        <w:t>La aplicación de firmas digitales con certificado al estar integrada con la solución de grabación de audiencia, debe tener salida a internet. A nivel de seguridad existe alguna condición o información que debamos tener como proveedores?</w:t>
      </w:r>
    </w:p>
    <w:p w14:paraId="06B3CB70"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3A903818"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 xml:space="preserve">No se requiere condiciones de seguridad especiales más allá de las políticas de la entidad, únicamente el proceso de firma se ejecuta localmente dentro de la infraestructura de la entidad; la única comunicación externa que puede requerirse es la validación del certificado y el estampado cronológico (TSA) contra la entidad certificadora. </w:t>
      </w:r>
    </w:p>
    <w:p w14:paraId="49C4B13B" w14:textId="77777777" w:rsidR="00BE6367" w:rsidRDefault="00BE6367">
      <w:pPr>
        <w:jc w:val="both"/>
        <w:rPr>
          <w:rFonts w:ascii="Arial" w:eastAsia="Arial" w:hAnsi="Arial" w:cs="Arial"/>
          <w:sz w:val="20"/>
          <w:szCs w:val="20"/>
        </w:rPr>
      </w:pPr>
    </w:p>
    <w:p w14:paraId="19D00D56"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31:</w:t>
      </w:r>
    </w:p>
    <w:p w14:paraId="5D9C5B1B" w14:textId="77777777" w:rsidR="00BE6367" w:rsidRDefault="00C90F6A">
      <w:pPr>
        <w:jc w:val="both"/>
        <w:rPr>
          <w:rFonts w:ascii="Arial" w:eastAsia="Arial" w:hAnsi="Arial" w:cs="Arial"/>
          <w:sz w:val="20"/>
          <w:szCs w:val="20"/>
        </w:rPr>
      </w:pPr>
      <w:r>
        <w:rPr>
          <w:rFonts w:ascii="Arial" w:eastAsia="Arial" w:hAnsi="Arial" w:cs="Arial"/>
          <w:sz w:val="20"/>
          <w:szCs w:val="20"/>
        </w:rPr>
        <w:t>Por favor indicarnos a que hace referencia con "Configuración de parámetros de calidad con ajuste dinámico al ancho de banda disponible y manejo de latencia" si esta funcionalidad debe ser independiente del canal de internet que esté siendo suministrado para el cliente</w:t>
      </w:r>
    </w:p>
    <w:p w14:paraId="526003DB"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4880DBB9" w14:textId="77777777" w:rsidR="00BE6367" w:rsidRDefault="00C90F6A">
      <w:pPr>
        <w:jc w:val="both"/>
        <w:rPr>
          <w:rFonts w:ascii="Arial" w:eastAsia="Arial" w:hAnsi="Arial" w:cs="Arial"/>
          <w:sz w:val="20"/>
          <w:szCs w:val="20"/>
        </w:rPr>
      </w:pPr>
      <w:r>
        <w:rPr>
          <w:rFonts w:ascii="Arial" w:eastAsia="Arial" w:hAnsi="Arial" w:cs="Arial"/>
          <w:sz w:val="20"/>
          <w:szCs w:val="20"/>
        </w:rPr>
        <w:t>La expresión "configuración de parámetros de calidad con ajuste dinámico al ancho de banda disponible y manejo de latencia" hace referencia a que la solución deberá adaptar automáticamente el bitrate y la resolución de la transmisión y grabación, en tiempo real, en función del ancho de banda disponible en cada momento, con el fin de evitar cortes, degradación abrupta o pérdida de sincronía audiovisual ante fluctuaciones de la red.</w:t>
      </w:r>
    </w:p>
    <w:p w14:paraId="127A2904"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Esta es una funcionalidad propia del software, independiente del canal de internet que suministre la Entidad, y deberá operar sobre cualquier tipo de enlace. No obstante, la Entidad precisa que el desempeño efectivo de esta funcionalidad (calidad de imagen y audio resultante) dependerá del ancho de banda mínimo garantizado por sala. En caso de que, durante la ejecución del contrato, se evidencie que el ancho de banda real disponible en alguna sala es inferior al mínimo garantizado por la Entidad, el eventual ajuste en la calidad de la transmisión derivado de dicha limitación no será atribuible al contratista.</w:t>
      </w:r>
    </w:p>
    <w:p w14:paraId="6FC668D7"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32:</w:t>
      </w:r>
    </w:p>
    <w:p w14:paraId="29B0EB8E" w14:textId="77777777" w:rsidR="00BE6367" w:rsidRDefault="00C90F6A">
      <w:pPr>
        <w:jc w:val="both"/>
        <w:rPr>
          <w:rFonts w:ascii="Arial" w:eastAsia="Arial" w:hAnsi="Arial" w:cs="Arial"/>
          <w:sz w:val="20"/>
          <w:szCs w:val="20"/>
        </w:rPr>
      </w:pPr>
      <w:r>
        <w:rPr>
          <w:rFonts w:ascii="Arial" w:eastAsia="Arial" w:hAnsi="Arial" w:cs="Arial"/>
          <w:sz w:val="20"/>
          <w:szCs w:val="20"/>
        </w:rPr>
        <w:t>Por favor indicarnos cuáles son las plataformas de gestión documental y sistemas información institucional que tiene la entidad con las que se debe integrar la plataforma de grabación de audiencias.</w:t>
      </w:r>
    </w:p>
    <w:p w14:paraId="03496C59"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w:t>
      </w:r>
    </w:p>
    <w:p w14:paraId="32CE49EE" w14:textId="77777777" w:rsidR="00BE6367" w:rsidRDefault="00C90F6A">
      <w:pPr>
        <w:jc w:val="both"/>
        <w:rPr>
          <w:rFonts w:ascii="Arial" w:eastAsia="Arial" w:hAnsi="Arial" w:cs="Arial"/>
          <w:sz w:val="20"/>
          <w:szCs w:val="20"/>
        </w:rPr>
      </w:pPr>
      <w:r>
        <w:rPr>
          <w:rFonts w:ascii="Arial" w:eastAsia="Arial" w:hAnsi="Arial" w:cs="Arial"/>
          <w:sz w:val="20"/>
          <w:szCs w:val="20"/>
        </w:rPr>
        <w:t>La plataforma de gestión documental que maneja la Entidad es DOKUS,el Sistema de Información Misional (SIM), el Directorio Activo y la Sede Electrónica de la Procuraduría General de la Nación.</w:t>
      </w:r>
    </w:p>
    <w:p w14:paraId="2EF700C3"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Dicha integración deberá realizarse dentro de los alcances técnicos definidos en la ficha técnica del presente proceso, y en la medida en que las capacidades de interoperabilidad de cada uno de los sistemas institucionales mencionados lo permitan (disponibilidad de API, webservices u otros mecanismos de integración habilitados por la Entidad). El detalle técnico específico de cada integración (protocolos, formatos de intercambio de información, y demás condiciones de conectividad) será validado y precisado con el contratista adjudicatario durante la etapa de implementación del contrato.</w:t>
      </w:r>
    </w:p>
    <w:p w14:paraId="54E50664" w14:textId="77777777" w:rsidR="00BE6367" w:rsidRDefault="00BE6367">
      <w:pPr>
        <w:jc w:val="both"/>
        <w:rPr>
          <w:rFonts w:ascii="Arial" w:eastAsia="Arial" w:hAnsi="Arial" w:cs="Arial"/>
          <w:sz w:val="20"/>
          <w:szCs w:val="20"/>
        </w:rPr>
      </w:pPr>
    </w:p>
    <w:p w14:paraId="71330417"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33:</w:t>
      </w:r>
    </w:p>
    <w:p w14:paraId="4D30D76C" w14:textId="77777777" w:rsidR="00BE6367" w:rsidRDefault="00C90F6A">
      <w:pPr>
        <w:jc w:val="both"/>
        <w:rPr>
          <w:rFonts w:ascii="Arial" w:eastAsia="Arial" w:hAnsi="Arial" w:cs="Arial"/>
          <w:sz w:val="20"/>
          <w:szCs w:val="20"/>
        </w:rPr>
      </w:pPr>
      <w:r>
        <w:rPr>
          <w:rFonts w:ascii="Arial" w:eastAsia="Arial" w:hAnsi="Arial" w:cs="Arial"/>
          <w:sz w:val="20"/>
          <w:szCs w:val="20"/>
        </w:rPr>
        <w:t>Para el servicio de transcripción automática agradecemos nos confirmen si se deben transcribir el 100% de las grabaciones realizadas? en caso de ser afirmativa la respuesta por favor indicar el número de horas de grabaciones realizadas promedio mes.</w:t>
      </w:r>
    </w:p>
    <w:p w14:paraId="65C527D1"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w:t>
      </w:r>
    </w:p>
    <w:p w14:paraId="5795781B"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Se confirma que deberá transcribirse el 100% de las grabaciones realizadas. Para efectos de diseño y dimensionamiento de la solución, la Entidad estima un volumen aproximado de hasta ciento ochenta (180) horas de grabación al mes por sala. Esta cifra corresponde a un estimado de diseño para que el proponente dimensione adecuadamente la capacidad de procesamiento, almacenamiento y licenciamiento del servicio de transcripción automática, sin que constituya un compromiso de volumen fijo, mínimo o garantizado por parte de la Entidad, el cual podrá variar durante la ejecución del contrato en función de la demanda real de audiencias y sesiones grabadas.</w:t>
      </w:r>
    </w:p>
    <w:p w14:paraId="1C2D9554" w14:textId="77777777" w:rsidR="00BE6367" w:rsidRDefault="00BE6367">
      <w:pPr>
        <w:jc w:val="both"/>
        <w:rPr>
          <w:rFonts w:ascii="Arial" w:eastAsia="Arial" w:hAnsi="Arial" w:cs="Arial"/>
          <w:sz w:val="20"/>
          <w:szCs w:val="20"/>
        </w:rPr>
      </w:pPr>
    </w:p>
    <w:p w14:paraId="1BC6721D"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34:</w:t>
      </w:r>
    </w:p>
    <w:p w14:paraId="271477A9" w14:textId="77777777" w:rsidR="00BE6367" w:rsidRDefault="00C90F6A">
      <w:pPr>
        <w:jc w:val="both"/>
        <w:rPr>
          <w:rFonts w:ascii="Arial" w:eastAsia="Arial" w:hAnsi="Arial" w:cs="Arial"/>
          <w:sz w:val="20"/>
          <w:szCs w:val="20"/>
        </w:rPr>
      </w:pPr>
      <w:r>
        <w:rPr>
          <w:rFonts w:ascii="Arial" w:eastAsia="Arial" w:hAnsi="Arial" w:cs="Arial"/>
          <w:sz w:val="20"/>
          <w:szCs w:val="20"/>
        </w:rPr>
        <w:t> Por favor indicarnos qué tipo de formatos de audio y video se requiere la  transmisión y grabación de las audiencias</w:t>
      </w:r>
    </w:p>
    <w:p w14:paraId="573F5FEA"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354F85D3"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La grabación y transmisión de las audiencias deberá realizarse en formato de video H.264, bajo contenedor MP4, con resolución de hasta 1080p, y audio en formato AAC. Para efectos del servicio de transcripción automática, deberá generarse una extracción del audio en formato WAV/PCM a 16 kHz. Estos formatos corresponden a estándares ampliamente interoperables y adecuados para el archivo, custodia y reproducción de este tipo de material audiovisual. </w:t>
      </w:r>
    </w:p>
    <w:p w14:paraId="46CDC61F"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35:</w:t>
      </w:r>
    </w:p>
    <w:p w14:paraId="5F365E43" w14:textId="77777777" w:rsidR="00BE6367" w:rsidRDefault="00C90F6A">
      <w:pPr>
        <w:jc w:val="both"/>
        <w:rPr>
          <w:rFonts w:ascii="Arial" w:eastAsia="Arial" w:hAnsi="Arial" w:cs="Arial"/>
          <w:sz w:val="20"/>
          <w:szCs w:val="20"/>
        </w:rPr>
      </w:pPr>
      <w:r>
        <w:rPr>
          <w:rFonts w:ascii="Arial" w:eastAsia="Arial" w:hAnsi="Arial" w:cs="Arial"/>
          <w:sz w:val="20"/>
          <w:szCs w:val="20"/>
        </w:rPr>
        <w:t>Por favor aclararnos y detallar a que hace referencia con operación cien por ciento (100%) basada en navegador web autorizado, sin requerir instalación de clientes nativos en las estaciones de trabajo de usuarios funcionales, teniendo en cuenta que existe otro punto del documento donde se solicita que el despliegue se haga en modalidad on-premise.</w:t>
      </w:r>
    </w:p>
    <w:p w14:paraId="43CB29B9"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w:t>
      </w:r>
    </w:p>
    <w:p w14:paraId="640C81EF" w14:textId="77777777" w:rsidR="00BE6367" w:rsidRDefault="00C90F6A">
      <w:pPr>
        <w:jc w:val="both"/>
        <w:rPr>
          <w:rFonts w:ascii="Arial" w:eastAsia="Arial" w:hAnsi="Arial" w:cs="Arial"/>
          <w:sz w:val="20"/>
          <w:szCs w:val="20"/>
        </w:rPr>
      </w:pPr>
      <w:r>
        <w:rPr>
          <w:rFonts w:ascii="Arial" w:eastAsia="Arial" w:hAnsi="Arial" w:cs="Arial"/>
          <w:sz w:val="20"/>
          <w:szCs w:val="20"/>
        </w:rPr>
        <w:t>No existe contradicción entre ambos requisitos, por cuanto corresponden a dos capas distintas y complementarias de la arquitectura de la solución. La modalidad on-premise describe la ubicación de los servidores y la infraestructura de procesamiento y almacenamiento, los cuales residirán dentro de la infraestructura de la Entidad, garantizando que los datos no salgan de su control. Por su parte, la operación basada en navegador web describe el mecanismo de acceso de los usuarios funcionales, quienes ingresarán a la aplicación mediante un navegador web autorizado (por ejemplo, Chrome o Edge, en sus versiones vigentes soportadas por el fabricante), sin necesidad de instalar clientes nativos o software adicional en cada estación de trabajo.</w:t>
      </w:r>
    </w:p>
    <w:p w14:paraId="4EE1A4F6"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la arquitectura corresponde a un servidor instalado on-premise, con acceso de los usuarios funcionales vía navegador dentro de la red interna de la Entidad, siendo ambos requisitos plenamente compatibles entre sí.</w:t>
      </w:r>
    </w:p>
    <w:p w14:paraId="418243DD" w14:textId="77777777" w:rsidR="00BE6367" w:rsidRDefault="00BE6367">
      <w:pPr>
        <w:jc w:val="both"/>
        <w:rPr>
          <w:rFonts w:ascii="Arial" w:eastAsia="Arial" w:hAnsi="Arial" w:cs="Arial"/>
          <w:sz w:val="20"/>
          <w:szCs w:val="20"/>
        </w:rPr>
      </w:pPr>
    </w:p>
    <w:p w14:paraId="3D724E9A"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36:</w:t>
      </w:r>
    </w:p>
    <w:p w14:paraId="653E3133" w14:textId="77777777" w:rsidR="00BE6367" w:rsidRDefault="00BE6367">
      <w:pPr>
        <w:jc w:val="both"/>
        <w:rPr>
          <w:rFonts w:ascii="Arial" w:eastAsia="Arial" w:hAnsi="Arial" w:cs="Arial"/>
          <w:sz w:val="20"/>
          <w:szCs w:val="20"/>
        </w:rPr>
      </w:pPr>
    </w:p>
    <w:p w14:paraId="1DF267C4" w14:textId="77777777" w:rsidR="00BE6367" w:rsidRDefault="00C90F6A">
      <w:pPr>
        <w:jc w:val="both"/>
        <w:rPr>
          <w:rFonts w:ascii="Arial" w:eastAsia="Arial" w:hAnsi="Arial" w:cs="Arial"/>
          <w:sz w:val="20"/>
          <w:szCs w:val="20"/>
        </w:rPr>
      </w:pPr>
      <w:r>
        <w:rPr>
          <w:rFonts w:ascii="Arial" w:eastAsia="Arial" w:hAnsi="Arial" w:cs="Arial"/>
          <w:sz w:val="20"/>
          <w:szCs w:val="20"/>
        </w:rPr>
        <w:t>¿Por favor, confirmar si la solución de grabación de audiencias debe ser con grabación local y repositorio centralizado? o por favor confirmar cómo tiene pensado la entidad manejar la arquitectura</w:t>
      </w:r>
    </w:p>
    <w:p w14:paraId="778395CD"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0E16E43E"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Se requiere una arquitectura híbrida de grabación, consistente en captura local en cada sala, con consolidación posterior en un repositorio centralizado on-premise. Cada audiencia se captura de manera local, garantizando resiliencia ante eventuales caídas de conectividad de red durante su desarrollo, y posteriormente se sincroniza automáticamente con el repositorio central, una vez restablecida la conexión, sin pérdida de la grabación.</w:t>
      </w:r>
    </w:p>
    <w:p w14:paraId="1F3EE149"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caso de que una grabación permanezca pendiente de sincronización con el repositorio central por un período prolongado, la solución deberá contar con un mecanismo de alerta o notificación al administrador del sistema, a fin de garantizar el adecuado seguimiento y control de la totalidad de las grabaciones realizadas.</w:t>
      </w:r>
    </w:p>
    <w:p w14:paraId="4A55814A"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OBSERVACIONES A LA FTN</w:t>
      </w:r>
    </w:p>
    <w:p w14:paraId="4D4DD092" w14:textId="77777777" w:rsidR="00BE6367" w:rsidRDefault="00C90F6A">
      <w:pPr>
        <w:jc w:val="both"/>
        <w:rPr>
          <w:rFonts w:ascii="Arial" w:eastAsia="Arial" w:hAnsi="Arial" w:cs="Arial"/>
          <w:sz w:val="20"/>
          <w:szCs w:val="20"/>
        </w:rPr>
      </w:pPr>
      <w:r>
        <w:rPr>
          <w:rFonts w:ascii="Arial" w:eastAsia="Arial" w:hAnsi="Arial" w:cs="Arial"/>
          <w:sz w:val="20"/>
          <w:szCs w:val="20"/>
        </w:rPr>
        <w:t>Por medio del presente enviamos las siguientes observaciones de las especificaciones de la FTN:</w:t>
      </w:r>
    </w:p>
    <w:p w14:paraId="3D473EF7" w14:textId="77777777" w:rsidR="00BE6367" w:rsidRDefault="00C90F6A">
      <w:pPr>
        <w:jc w:val="both"/>
        <w:rPr>
          <w:rFonts w:ascii="Arial" w:eastAsia="Arial" w:hAnsi="Arial" w:cs="Arial"/>
          <w:sz w:val="20"/>
          <w:szCs w:val="20"/>
        </w:rPr>
      </w:pPr>
      <w:r>
        <w:rPr>
          <w:rFonts w:ascii="Arial" w:eastAsia="Arial" w:hAnsi="Arial" w:cs="Arial"/>
          <w:b/>
          <w:bCs/>
          <w:sz w:val="20"/>
          <w:szCs w:val="20"/>
        </w:rPr>
        <w:t>Observación 37-</w:t>
      </w:r>
      <w:r>
        <w:rPr>
          <w:rFonts w:ascii="Arial" w:eastAsia="Arial" w:hAnsi="Arial" w:cs="Arial"/>
          <w:sz w:val="20"/>
          <w:szCs w:val="20"/>
        </w:rPr>
        <w:t xml:space="preserve"> MODALIDAD DE EXPERIENCIA A TRAVES DE CERTIFICACIONES</w:t>
      </w:r>
    </w:p>
    <w:p w14:paraId="71475FF8" w14:textId="77777777" w:rsidR="00BE6367" w:rsidRDefault="00C90F6A">
      <w:pPr>
        <w:jc w:val="both"/>
        <w:rPr>
          <w:rFonts w:ascii="Arial" w:eastAsia="Arial" w:hAnsi="Arial" w:cs="Arial"/>
          <w:sz w:val="20"/>
          <w:szCs w:val="20"/>
        </w:rPr>
      </w:pPr>
      <w:r>
        <w:rPr>
          <w:rFonts w:ascii="Arial" w:eastAsia="Arial" w:hAnsi="Arial" w:cs="Arial"/>
          <w:sz w:val="20"/>
          <w:szCs w:val="20"/>
        </w:rPr>
        <w:t>En relación al requerimiento de experiencia  solicitada en el numeral “MODALIDAD DE EXPERIENCIA A TRAVES DE CERTIFICACIONES”:</w:t>
      </w:r>
    </w:p>
    <w:p w14:paraId="5A39AFEB" w14:textId="77777777" w:rsidR="00BE6367" w:rsidRDefault="00C90F6A">
      <w:pPr>
        <w:jc w:val="both"/>
        <w:rPr>
          <w:rFonts w:ascii="Arial" w:eastAsia="Arial" w:hAnsi="Arial" w:cs="Arial"/>
          <w:sz w:val="20"/>
          <w:szCs w:val="20"/>
        </w:rPr>
      </w:pPr>
      <w:r>
        <w:rPr>
          <w:rFonts w:ascii="Arial" w:eastAsia="Arial" w:hAnsi="Arial" w:cs="Arial"/>
          <w:b/>
          <w:bCs/>
          <w:sz w:val="20"/>
          <w:szCs w:val="20"/>
        </w:rPr>
        <w:t>Texto del requisito:</w:t>
      </w:r>
    </w:p>
    <w:p w14:paraId="721EA9E7" w14:textId="77777777" w:rsidR="00BE6367" w:rsidRDefault="00C90F6A">
      <w:pPr>
        <w:jc w:val="both"/>
        <w:rPr>
          <w:rFonts w:ascii="Arial" w:eastAsia="Arial" w:hAnsi="Arial" w:cs="Arial"/>
          <w:sz w:val="20"/>
          <w:szCs w:val="20"/>
        </w:rPr>
      </w:pPr>
      <w:r>
        <w:rPr>
          <w:rFonts w:ascii="Arial" w:eastAsia="Arial" w:hAnsi="Arial" w:cs="Arial"/>
          <w:i/>
          <w:iCs/>
          <w:sz w:val="20"/>
          <w:szCs w:val="20"/>
        </w:rPr>
        <w:t>"Presentar contratos/certificaciones finalizados a la fecha de presentación de los documentos en el cual certifique que ha realizado al menos una implementación en los últimos cinco (5) años de plataformas de software de gestión de audiencias o sesiones en entidades públicas, judiciales, legislativas o corporativas."</w:t>
      </w:r>
    </w:p>
    <w:p w14:paraId="1D68F376" w14:textId="77777777" w:rsidR="00BE6367" w:rsidRDefault="00C90F6A">
      <w:pPr>
        <w:jc w:val="both"/>
        <w:rPr>
          <w:rFonts w:ascii="Arial" w:eastAsia="Arial" w:hAnsi="Arial" w:cs="Arial"/>
          <w:sz w:val="20"/>
          <w:szCs w:val="20"/>
        </w:rPr>
      </w:pPr>
      <w:r>
        <w:rPr>
          <w:rFonts w:ascii="Arial" w:eastAsia="Arial" w:hAnsi="Arial" w:cs="Arial"/>
          <w:b/>
          <w:bCs/>
          <w:sz w:val="20"/>
          <w:szCs w:val="20"/>
        </w:rPr>
        <w:t>Observación:</w:t>
      </w:r>
      <w:r>
        <w:rPr>
          <w:rFonts w:ascii="Arial" w:eastAsia="Arial" w:hAnsi="Arial" w:cs="Arial"/>
          <w:sz w:val="20"/>
          <w:szCs w:val="20"/>
        </w:rPr>
        <w:t xml:space="preserve"> </w:t>
      </w:r>
    </w:p>
    <w:p w14:paraId="5E50C91C" w14:textId="77777777" w:rsidR="00BE6367" w:rsidRDefault="00C90F6A">
      <w:pPr>
        <w:jc w:val="both"/>
        <w:rPr>
          <w:rFonts w:ascii="Arial" w:eastAsia="Arial" w:hAnsi="Arial" w:cs="Arial"/>
          <w:sz w:val="20"/>
          <w:szCs w:val="20"/>
        </w:rPr>
      </w:pPr>
      <w:r>
        <w:rPr>
          <w:rFonts w:ascii="Arial" w:eastAsia="Arial" w:hAnsi="Arial" w:cs="Arial"/>
          <w:sz w:val="20"/>
          <w:szCs w:val="20"/>
        </w:rPr>
        <w:t>De manera respetuosa solicitamos a la Entidad considerar la posibilidad de ampliar el criterio de acreditación de este requisito, de tal forma que se acepte experiencia en la implementación de plataformas de software en general, y no exclusivamente en soluciones de gestión de audiencias o sesiones.</w:t>
      </w:r>
    </w:p>
    <w:p w14:paraId="5C402FCE" w14:textId="77777777" w:rsidR="00BE6367" w:rsidRDefault="00C90F6A">
      <w:pPr>
        <w:jc w:val="both"/>
        <w:rPr>
          <w:rFonts w:ascii="Arial" w:eastAsia="Arial" w:hAnsi="Arial" w:cs="Arial"/>
          <w:sz w:val="20"/>
          <w:szCs w:val="20"/>
        </w:rPr>
      </w:pPr>
      <w:r>
        <w:rPr>
          <w:rFonts w:ascii="Arial" w:eastAsia="Arial" w:hAnsi="Arial" w:cs="Arial"/>
          <w:sz w:val="20"/>
          <w:szCs w:val="20"/>
        </w:rPr>
        <w:t>Lo anterior, teniendo en cuenta que existen en el mercado múltiples integradores tecnológicos con amplia trayectoria en la implementación de soluciones de software en entidades públicas, judiciales, legislativas o corporativas, cuya experiencia podría ser igualmente válida para garantizar la idoneidad técnica requerida por la Entidad, sin necesidad de circunscribirla a un tipo de solución en particular.</w:t>
      </w:r>
    </w:p>
    <w:p w14:paraId="2576DC9C" w14:textId="77777777" w:rsidR="00BE6367" w:rsidRDefault="00C90F6A">
      <w:pPr>
        <w:jc w:val="both"/>
        <w:rPr>
          <w:rFonts w:ascii="Arial" w:eastAsia="Arial" w:hAnsi="Arial" w:cs="Arial"/>
          <w:sz w:val="20"/>
          <w:szCs w:val="20"/>
        </w:rPr>
      </w:pPr>
      <w:r>
        <w:rPr>
          <w:rFonts w:ascii="Arial" w:eastAsia="Arial" w:hAnsi="Arial" w:cs="Arial"/>
          <w:b/>
          <w:bCs/>
          <w:sz w:val="20"/>
          <w:szCs w:val="20"/>
        </w:rPr>
        <w:t>Petición:</w:t>
      </w:r>
    </w:p>
    <w:p w14:paraId="5BFA204A" w14:textId="77777777" w:rsidR="00BE6367" w:rsidRDefault="00C90F6A">
      <w:pPr>
        <w:jc w:val="both"/>
        <w:rPr>
          <w:rFonts w:ascii="Arial" w:eastAsia="Arial" w:hAnsi="Arial" w:cs="Arial"/>
          <w:sz w:val="20"/>
          <w:szCs w:val="20"/>
        </w:rPr>
      </w:pPr>
      <w:r>
        <w:rPr>
          <w:rFonts w:ascii="Arial" w:eastAsia="Arial" w:hAnsi="Arial" w:cs="Arial"/>
          <w:sz w:val="20"/>
          <w:szCs w:val="20"/>
        </w:rPr>
        <w:t>Solicitamos respetuosamente a la Entidad modificar el requisito de la siguiente manera:</w:t>
      </w:r>
    </w:p>
    <w:p w14:paraId="25B5ABFF" w14:textId="77777777" w:rsidR="00BE6367" w:rsidRDefault="00C90F6A">
      <w:pPr>
        <w:jc w:val="both"/>
        <w:rPr>
          <w:rFonts w:ascii="Arial" w:eastAsia="Arial" w:hAnsi="Arial" w:cs="Arial"/>
          <w:sz w:val="20"/>
          <w:szCs w:val="20"/>
        </w:rPr>
      </w:pPr>
      <w:r>
        <w:rPr>
          <w:rFonts w:ascii="Arial" w:eastAsia="Arial" w:hAnsi="Arial" w:cs="Arial"/>
          <w:i/>
          <w:iCs/>
          <w:sz w:val="20"/>
          <w:szCs w:val="20"/>
        </w:rPr>
        <w:t>"Presentar contratos/certificaciones finalizados a la fecha de presentación de los documentos en el cual certifique que ha realizado al menos una implementación en los últimos cinco (5) años de plataformas de software en entidades públicas, judiciales, legislativas o corporativas."</w:t>
      </w:r>
    </w:p>
    <w:p w14:paraId="45942BCE"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w:t>
      </w:r>
    </w:p>
    <w:p w14:paraId="60615354"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Se acepta parcialmente la observación. La Entidad precisa que el objeto del software exigido en el presente proceso corresponde específicamente a una plataforma de gestión de audiencias o de gestión de sesiones, orientada a la organización, registro y seguimiento de las audiencias o sesiones que se surten dentro de procesos disciplinarios, preventivos, administrativos o de similar naturaleza, la cual involucra particularidades funcionales y procedimentales propias de este tipo de trámites (control de términos, citaciones, custodia de </w:t>
      </w:r>
      <w:r>
        <w:rPr>
          <w:rFonts w:ascii="Arial" w:eastAsia="Arial" w:hAnsi="Arial" w:cs="Arial"/>
          <w:sz w:val="20"/>
          <w:szCs w:val="20"/>
        </w:rPr>
        <w:lastRenderedPageBreak/>
        <w:t>expedientes, entre otras), que no resultan comparables con el desarrollo o implementación de software en un sentido genérico.</w:t>
      </w:r>
    </w:p>
    <w:p w14:paraId="10C6A106"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aplicación del deber de planeación (art. 25 Ley 80 de 1993) y del principio de selección objetiva (art. 5 Ley 1150 de 2007), la Entidad considera necesario que la experiencia habilitante del proponente se circunscriba a la implementación de soluciones de la misma naturaleza funcional exigida en el presente proceso, por cuanto una experiencia general en "implementación de plataformas de software", sin relación con dicha especialidad, no permitiría verificar que el comitente vendedor conoce las particularidades técnicas y normativas propias de este tipo de soluciones, ni garantizaría su idoneidad para la correcta implementación del objeto contractual.</w:t>
      </w:r>
    </w:p>
    <w:p w14:paraId="2F1C1F0C"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obstante, en aplicación de los principios de libre concurrencia y pluralidad de oferentes, la Entidad ajustará la redacción del requisito para reemplazar el término "plataforma de software de audiencias" por una descripción más amplia que comprenda el "software de gestión de audiencias o software de gestión de sesiones", y para ampliar el tipo de entidades donde dicha experiencia pueda haberse acreditado, incluyendo expresamente entidades privadas, además de las públicas, judiciales y legislativas ya contempladas.</w:t>
      </w:r>
    </w:p>
    <w:p w14:paraId="64DFEE37"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el requisito quedará redactado así: "Presentar contratos ó certificaciones finalizados a la fecha de presentación de los documentos en el cual certifique que ha realizado al menos una implementación en los últimos cinco (5) años de software de gestión de audiencias o software de gestión de sesiones en entidades públicas, judiciales, legislativas o privadas."</w:t>
      </w:r>
    </w:p>
    <w:p w14:paraId="7DC2B288" w14:textId="77777777" w:rsidR="00BE6367" w:rsidRDefault="00C90F6A">
      <w:pPr>
        <w:jc w:val="both"/>
        <w:rPr>
          <w:rFonts w:ascii="Arial" w:eastAsia="Arial" w:hAnsi="Arial" w:cs="Arial"/>
          <w:sz w:val="20"/>
          <w:szCs w:val="20"/>
        </w:rPr>
      </w:pPr>
      <w:r>
        <w:rPr>
          <w:rFonts w:ascii="Arial" w:eastAsia="Arial" w:hAnsi="Arial" w:cs="Arial"/>
          <w:b/>
          <w:bCs/>
          <w:sz w:val="20"/>
          <w:szCs w:val="20"/>
        </w:rPr>
        <w:t>Observación 38-</w:t>
      </w:r>
      <w:r>
        <w:rPr>
          <w:rFonts w:ascii="Arial" w:eastAsia="Arial" w:hAnsi="Arial" w:cs="Arial"/>
          <w:sz w:val="20"/>
          <w:szCs w:val="20"/>
        </w:rPr>
        <w:t xml:space="preserve"> </w:t>
      </w:r>
      <w:r>
        <w:rPr>
          <w:rFonts w:ascii="Arial" w:eastAsia="Arial" w:hAnsi="Arial" w:cs="Arial"/>
          <w:b/>
          <w:bCs/>
          <w:sz w:val="20"/>
          <w:szCs w:val="20"/>
        </w:rPr>
        <w:t>Certificación del fabricante para personal técnico en soluciones de video profesional (ítems 34 y 35)</w:t>
      </w:r>
    </w:p>
    <w:p w14:paraId="31480398" w14:textId="77777777" w:rsidR="00BE6367" w:rsidRDefault="00BE6367">
      <w:pPr>
        <w:jc w:val="both"/>
        <w:rPr>
          <w:rFonts w:ascii="Arial" w:eastAsia="Arial" w:hAnsi="Arial" w:cs="Arial"/>
          <w:sz w:val="20"/>
          <w:szCs w:val="20"/>
        </w:rPr>
      </w:pPr>
    </w:p>
    <w:p w14:paraId="32BE9F2F" w14:textId="77777777" w:rsidR="00BE6367" w:rsidRDefault="00C90F6A">
      <w:pPr>
        <w:jc w:val="both"/>
        <w:rPr>
          <w:rFonts w:ascii="Arial" w:eastAsia="Arial" w:hAnsi="Arial" w:cs="Arial"/>
          <w:sz w:val="20"/>
          <w:szCs w:val="20"/>
        </w:rPr>
      </w:pPr>
      <w:r>
        <w:rPr>
          <w:rFonts w:ascii="Arial" w:eastAsia="Arial" w:hAnsi="Arial" w:cs="Arial"/>
          <w:sz w:val="20"/>
          <w:szCs w:val="20"/>
        </w:rPr>
        <w:t>Texto del requisito:</w:t>
      </w:r>
    </w:p>
    <w:p w14:paraId="55ED940E" w14:textId="77777777" w:rsidR="00BE6367" w:rsidRDefault="00C90F6A">
      <w:pPr>
        <w:jc w:val="both"/>
        <w:rPr>
          <w:rFonts w:ascii="Arial" w:eastAsia="Arial" w:hAnsi="Arial" w:cs="Arial"/>
          <w:sz w:val="20"/>
          <w:szCs w:val="20"/>
        </w:rPr>
      </w:pPr>
      <w:r>
        <w:rPr>
          <w:rFonts w:ascii="Arial" w:eastAsia="Arial" w:hAnsi="Arial" w:cs="Arial"/>
          <w:sz w:val="20"/>
          <w:szCs w:val="20"/>
        </w:rPr>
        <w:t>"Adicionalmente, para garantizar la experiencia del personal técnico en las soluciones de video profesional, el comitente vendedor deberá presentar certificación del fabricante de la solución de los ítems (34) Cámara PTZ y (35) Solución de Conmutación Multicámara que acredite a un profesional que haga parte de su empresa en:</w:t>
      </w:r>
    </w:p>
    <w:p w14:paraId="1655CFF4"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a) Competencias en el diseño de soluciones de video inteligente. </w:t>
      </w:r>
    </w:p>
    <w:p w14:paraId="75178892"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b) Competencias en la ingeniería de las soluciones de video inteligente. El cumplimiento de este requisito deberá acreditarse mediante la presentación de copia de los certificados expedidos por el fabricante, en los cuales se identifique claramente el nombre del profesional, el número de certificado y la fecha de expedición. Dichas certificaciones podrán estar en cabeza de uno o varios integrantes del equipo de trabajo propuesto. </w:t>
      </w:r>
    </w:p>
    <w:p w14:paraId="22DF4D71" w14:textId="77777777" w:rsidR="00BE6367" w:rsidRDefault="00C90F6A">
      <w:pPr>
        <w:jc w:val="both"/>
        <w:rPr>
          <w:rFonts w:ascii="Arial" w:eastAsia="Arial" w:hAnsi="Arial" w:cs="Arial"/>
          <w:sz w:val="20"/>
          <w:szCs w:val="20"/>
        </w:rPr>
      </w:pPr>
      <w:r>
        <w:rPr>
          <w:rFonts w:ascii="Arial" w:eastAsia="Arial" w:hAnsi="Arial" w:cs="Arial"/>
          <w:sz w:val="20"/>
          <w:szCs w:val="20"/>
        </w:rPr>
        <w:t>Adicionalmente, los profesionales acreditados deberán hacer parte de la nómina del comitente vendedor, condición que deberá demostrarse mediante los soportes correspondientes (ejemplo: certificación laboral, comprobantes de afiliación a seguridad social o documentos equivalentes), garantizando así la vinculación directa y permanente del recurso humano con la empresa."</w:t>
      </w:r>
    </w:p>
    <w:p w14:paraId="6BAA9A07" w14:textId="77777777" w:rsidR="00BE6367" w:rsidRDefault="00BE6367">
      <w:pPr>
        <w:jc w:val="both"/>
        <w:rPr>
          <w:rFonts w:ascii="Arial" w:eastAsia="Arial" w:hAnsi="Arial" w:cs="Arial"/>
          <w:sz w:val="20"/>
          <w:szCs w:val="20"/>
        </w:rPr>
      </w:pPr>
    </w:p>
    <w:p w14:paraId="0AE3DE4E"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w:t>
      </w:r>
    </w:p>
    <w:p w14:paraId="62D40F34"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El requisito condiciona la habilitación del comitente vendedor a un vínculo de nómina, previo y vigente, con profesionales titulares de certificaciones de disponibilidad restringida en el </w:t>
      </w:r>
      <w:r>
        <w:rPr>
          <w:rFonts w:ascii="Arial" w:eastAsia="Arial" w:hAnsi="Arial" w:cs="Arial"/>
          <w:sz w:val="20"/>
          <w:szCs w:val="20"/>
        </w:rPr>
        <w:lastRenderedPageBreak/>
        <w:t>mercado nacional. La vinculación del equipo de trabajo es una condición propia de la ejecución del contrato y no un atributo habilitante del proponente; exigirla desde la etapa de oferta constituye una barrera de acceso contraria a los principios de libre concurrencia y selección objetiva, sin que la modalidad de vinculación incida en la calidad técnica del resultado, la cual está garantizada por la certificación del fabricante en cabeza del profesional.</w:t>
      </w:r>
    </w:p>
    <w:p w14:paraId="7C5838EB" w14:textId="77777777" w:rsidR="00BE6367" w:rsidRDefault="00C90F6A">
      <w:pPr>
        <w:jc w:val="both"/>
        <w:rPr>
          <w:rFonts w:ascii="Arial" w:eastAsia="Arial" w:hAnsi="Arial" w:cs="Arial"/>
          <w:sz w:val="20"/>
          <w:szCs w:val="20"/>
        </w:rPr>
      </w:pPr>
      <w:r>
        <w:rPr>
          <w:rFonts w:ascii="Arial" w:eastAsia="Arial" w:hAnsi="Arial" w:cs="Arial"/>
          <w:b/>
          <w:bCs/>
          <w:sz w:val="20"/>
          <w:szCs w:val="20"/>
        </w:rPr>
        <w:t>Solicitud:</w:t>
      </w:r>
    </w:p>
    <w:p w14:paraId="5F8C9950" w14:textId="77777777" w:rsidR="00BE6367" w:rsidRDefault="00C90F6A">
      <w:pPr>
        <w:jc w:val="both"/>
        <w:rPr>
          <w:rFonts w:ascii="Arial" w:eastAsia="Arial" w:hAnsi="Arial" w:cs="Arial"/>
          <w:sz w:val="20"/>
          <w:szCs w:val="20"/>
        </w:rPr>
      </w:pPr>
      <w:r>
        <w:rPr>
          <w:rFonts w:ascii="Arial" w:eastAsia="Arial" w:hAnsi="Arial" w:cs="Arial"/>
          <w:sz w:val="20"/>
          <w:szCs w:val="20"/>
        </w:rPr>
        <w:t>Solicitamos modificar el requisito, de manera que su cumplimiento se acredite mediante una carta de compromiso suscrita por el comitente vendedor, en la que se obligue a disponer, para la ejecución del proyecto, de personal técnico certificado por el fabricante en las competencias exigidas (diseño e ingeniería de soluciones de video inteligente) para los ítems 34 y 35.</w:t>
      </w:r>
    </w:p>
    <w:p w14:paraId="2FE27B57" w14:textId="77777777" w:rsidR="00BE6367" w:rsidRDefault="00C90F6A">
      <w:pPr>
        <w:jc w:val="both"/>
        <w:rPr>
          <w:rFonts w:ascii="Arial" w:eastAsia="Arial" w:hAnsi="Arial" w:cs="Arial"/>
          <w:sz w:val="20"/>
          <w:szCs w:val="20"/>
        </w:rPr>
      </w:pPr>
      <w:r>
        <w:rPr>
          <w:rFonts w:ascii="Arial" w:eastAsia="Arial" w:hAnsi="Arial" w:cs="Arial"/>
          <w:sz w:val="20"/>
          <w:szCs w:val="20"/>
        </w:rPr>
        <w:t>Dicha carta deberá identificar, en la medida de lo posible, al profesional propuesto, el número de certificado y la fecha de expedición; en caso de que el profesional definitivo se precise durante la etapa de ejecución, el comitente vendedor se compromete a presentar dicha certificación antes del inicio de las actividades correspondientes a estos ítems.</w:t>
      </w:r>
    </w:p>
    <w:p w14:paraId="1EA273F3" w14:textId="77777777" w:rsidR="00BE6367" w:rsidRDefault="00C90F6A">
      <w:pPr>
        <w:jc w:val="both"/>
        <w:rPr>
          <w:rFonts w:ascii="Arial" w:eastAsia="Arial" w:hAnsi="Arial" w:cs="Arial"/>
          <w:sz w:val="20"/>
          <w:szCs w:val="20"/>
        </w:rPr>
      </w:pPr>
      <w:r>
        <w:rPr>
          <w:rFonts w:ascii="Arial" w:eastAsia="Arial" w:hAnsi="Arial" w:cs="Arial"/>
          <w:sz w:val="20"/>
          <w:szCs w:val="20"/>
        </w:rPr>
        <w:t>Con esta modificación se garantiza la idoneidad técnica exigida por la Entidad, sin imponer como requisito habilitante una modalidad específica de vinculación laboral (nómina), permitiendo así una mayor pluralidad de oferentes sin comprometer la calidad de la ejecución contractual.</w:t>
      </w:r>
    </w:p>
    <w:p w14:paraId="594705B8"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14B358E2" w14:textId="77777777" w:rsidR="00BE6367" w:rsidRDefault="00C90F6A">
      <w:pPr>
        <w:jc w:val="both"/>
        <w:rPr>
          <w:rFonts w:ascii="Arial" w:eastAsia="Arial" w:hAnsi="Arial" w:cs="Arial"/>
          <w:sz w:val="20"/>
          <w:szCs w:val="20"/>
        </w:rPr>
      </w:pPr>
      <w:r>
        <w:rPr>
          <w:rFonts w:ascii="Arial" w:eastAsia="Arial" w:hAnsi="Arial" w:cs="Arial"/>
          <w:sz w:val="20"/>
          <w:szCs w:val="20"/>
        </w:rPr>
        <w:t>Se acepta parcialmente la observación. La Entidad mantiene la exigencia de que el comitente vendedor acredite, desde la etapa de oferta, la certificación de competencia técnica expedida por el fabricante de la solución en diseño e ingeniería de soluciones de video inteligente para los ítems 34 y 35, por cuanto dicha certificación garantiza que el proponente cuenta con el profesional idóneo para la correcta configuración e integración tecnológica de estos componentes especializados.</w:t>
      </w:r>
    </w:p>
    <w:p w14:paraId="3F65A54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No obstante, en aplicación de los principios de libre concurrencia y selección objetiva (art. 5 Ley 1150 de 2007), la Entidad acoge la solicitud del observante en el sentido de que la acreditación de la vinculación laboral (nómina, afiliación a seguridad social o documento equivalente) del profesional certificado con el comitente vendedor no será exigida como documento habilitante en la etapa de presentación de la oferta, sino que deberá ser aportada por el contratista que resulte adjudicatario, como condición para el correcto desarrollo de las actividades correspondientes a los ítems 34 y 35.</w:t>
      </w:r>
    </w:p>
    <w:p w14:paraId="39835496"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precisa que la certificación de competencia técnica, con la identificación del profesional, el número de certificado y la fecha de expedición, deberá presentarse en la etapa de evaluación de la oferta, conforme a lo ya exigido en el FTN, y que la modificación aquí adoptada se circunscribe exclusivamente a la modalidad y el momento de acreditación del vínculo laboral del profesional certificado.</w:t>
      </w:r>
    </w:p>
    <w:p w14:paraId="7E50E19E"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el FTN será ajustado para reflejar que la acreditación de vinculación laboral (nómina) del profesional certificado en diseño e ingeniería de soluciones de video inteligente será exigible al contratista adjudicatario durante la ejecución del contrato, y no como requisito habilitante en la etapa de evaluación de propuestas.</w:t>
      </w:r>
    </w:p>
    <w:p w14:paraId="7FEC7683" w14:textId="77777777" w:rsidR="00BE6367" w:rsidRDefault="00C90F6A">
      <w:pPr>
        <w:jc w:val="both"/>
        <w:rPr>
          <w:rFonts w:ascii="Arial" w:eastAsia="Arial" w:hAnsi="Arial" w:cs="Arial"/>
          <w:sz w:val="20"/>
          <w:szCs w:val="20"/>
        </w:rPr>
      </w:pPr>
      <w:r>
        <w:rPr>
          <w:rFonts w:ascii="Arial" w:eastAsia="Arial" w:hAnsi="Arial" w:cs="Arial"/>
          <w:b/>
          <w:bCs/>
          <w:sz w:val="20"/>
          <w:szCs w:val="20"/>
        </w:rPr>
        <w:t>OBSERVACIÓN 39-OBLIGACIONES GENERALES DEL COMITENTE VENDEDOR</w:t>
      </w:r>
    </w:p>
    <w:p w14:paraId="2D8B7335" w14:textId="77777777" w:rsidR="00BE6367" w:rsidRDefault="00BE6367">
      <w:pPr>
        <w:jc w:val="both"/>
        <w:rPr>
          <w:rFonts w:ascii="Arial" w:eastAsia="Arial" w:hAnsi="Arial" w:cs="Arial"/>
          <w:sz w:val="20"/>
          <w:szCs w:val="20"/>
        </w:rPr>
      </w:pPr>
    </w:p>
    <w:p w14:paraId="59CF7638" w14:textId="77777777" w:rsidR="00BE6367" w:rsidRDefault="00C90F6A">
      <w:pPr>
        <w:jc w:val="both"/>
        <w:rPr>
          <w:rFonts w:ascii="Arial" w:eastAsia="Arial" w:hAnsi="Arial" w:cs="Arial"/>
          <w:sz w:val="20"/>
          <w:szCs w:val="20"/>
        </w:rPr>
      </w:pPr>
      <w:r>
        <w:rPr>
          <w:rFonts w:ascii="Arial" w:eastAsia="Arial" w:hAnsi="Arial" w:cs="Arial"/>
          <w:sz w:val="20"/>
          <w:szCs w:val="20"/>
        </w:rPr>
        <w:t>Texto del requisito:</w:t>
      </w:r>
    </w:p>
    <w:p w14:paraId="06F72481" w14:textId="77777777" w:rsidR="00BE6367" w:rsidRDefault="00C90F6A">
      <w:pPr>
        <w:jc w:val="both"/>
        <w:rPr>
          <w:rFonts w:ascii="Arial" w:eastAsia="Arial" w:hAnsi="Arial" w:cs="Arial"/>
          <w:sz w:val="20"/>
          <w:szCs w:val="20"/>
        </w:rPr>
      </w:pPr>
      <w:r>
        <w:rPr>
          <w:rFonts w:ascii="Arial" w:eastAsia="Arial" w:hAnsi="Arial" w:cs="Arial"/>
          <w:i/>
          <w:iCs/>
          <w:sz w:val="20"/>
          <w:szCs w:val="20"/>
        </w:rPr>
        <w:lastRenderedPageBreak/>
        <w:t>"Dar cumplimiento a las certificaciones exigidas en la Ficha Técnica de Producto, bienes o servicios (FTP), de los siguientes ítems: Computador de Escritorio (AIO), Computador de Escritorio (Workstation), Computador de Escritorio tipo Desktop Mini, Computador Portátil, Tableta, Monitor Táctil Interactivo, Pantalla Interactiva 136" – Tipo Panel Led Plegable, Codificador de Video, Aeronave no tripulada (DRON), Cámara Profesional, Video Cámara de Reportería, Monitor Táctil Interactivo, Cámara de Video, Codificador de Video, Video Recorder (CODEC) de video conferencia, Micrófonos, Consola de Sonido Potenciada, Conmutador de Red, Sistema de Reservación de Salas."</w:t>
      </w:r>
    </w:p>
    <w:p w14:paraId="52401A64" w14:textId="77777777" w:rsidR="00BE6367" w:rsidRDefault="00C90F6A">
      <w:pPr>
        <w:jc w:val="both"/>
        <w:rPr>
          <w:rFonts w:ascii="Arial" w:eastAsia="Arial" w:hAnsi="Arial" w:cs="Arial"/>
          <w:sz w:val="20"/>
          <w:szCs w:val="20"/>
        </w:rPr>
      </w:pPr>
      <w:r>
        <w:rPr>
          <w:rFonts w:ascii="Arial" w:eastAsia="Arial" w:hAnsi="Arial" w:cs="Arial"/>
          <w:sz w:val="20"/>
          <w:szCs w:val="20"/>
        </w:rPr>
        <w:t>Observación:</w:t>
      </w:r>
    </w:p>
    <w:p w14:paraId="00414AA5" w14:textId="77777777" w:rsidR="00BE6367" w:rsidRDefault="00BE6367">
      <w:pPr>
        <w:jc w:val="both"/>
        <w:rPr>
          <w:rFonts w:ascii="Arial" w:eastAsia="Arial" w:hAnsi="Arial" w:cs="Arial"/>
          <w:sz w:val="20"/>
          <w:szCs w:val="20"/>
        </w:rPr>
      </w:pPr>
    </w:p>
    <w:p w14:paraId="63D94706" w14:textId="77777777" w:rsidR="00BE6367" w:rsidRDefault="00C90F6A">
      <w:pPr>
        <w:jc w:val="both"/>
        <w:rPr>
          <w:rFonts w:ascii="Arial" w:eastAsia="Arial" w:hAnsi="Arial" w:cs="Arial"/>
          <w:sz w:val="20"/>
          <w:szCs w:val="20"/>
        </w:rPr>
      </w:pPr>
      <w:r>
        <w:rPr>
          <w:rFonts w:ascii="Arial" w:eastAsia="Arial" w:hAnsi="Arial" w:cs="Arial"/>
          <w:sz w:val="20"/>
          <w:szCs w:val="20"/>
        </w:rPr>
        <w:t>De manera respetuosa solicitamos a la Entidad aclarar el alcance y la naturaleza del requisito:</w:t>
      </w:r>
    </w:p>
    <w:p w14:paraId="21869C08" w14:textId="77777777" w:rsidR="00BE6367" w:rsidRDefault="00BE6367">
      <w:pPr>
        <w:jc w:val="both"/>
        <w:rPr>
          <w:rFonts w:ascii="Arial" w:eastAsia="Arial" w:hAnsi="Arial" w:cs="Arial"/>
          <w:sz w:val="20"/>
          <w:szCs w:val="20"/>
        </w:rPr>
      </w:pPr>
    </w:p>
    <w:p w14:paraId="441CA185" w14:textId="77777777" w:rsidR="00BE6367" w:rsidRDefault="00C90F6A">
      <w:pPr>
        <w:jc w:val="both"/>
        <w:rPr>
          <w:rFonts w:ascii="Arial" w:eastAsia="Arial" w:hAnsi="Arial" w:cs="Arial"/>
          <w:sz w:val="20"/>
          <w:szCs w:val="20"/>
        </w:rPr>
      </w:pPr>
      <w:r>
        <w:rPr>
          <w:rFonts w:ascii="Arial" w:eastAsia="Arial" w:hAnsi="Arial" w:cs="Arial"/>
          <w:sz w:val="20"/>
          <w:szCs w:val="20"/>
        </w:rPr>
        <w:t>Solicitamos especificar de manera clara y precisa, ítem por ítem, cuáles son las certificaciones concretas exigidas en la Ficha Técnica de Producto (normas técnicas, certificaciones de fabricante, de calidad, ambientales, energéticas, de seguridad u otras), así como el medio de acreditación válido para cada una de ellas (ficha técnica del fabricante, certificado de organismo certificador, declaración del fabricante, entre otros), de manera que exista claridad respecto a las obligaciones que deberá cumplir el adjudicatario durante la ejecución del contrato.</w:t>
      </w:r>
    </w:p>
    <w:p w14:paraId="196D3127"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0D0363BD" w14:textId="77777777" w:rsidR="00BE6367" w:rsidRDefault="00C90F6A">
      <w:pPr>
        <w:jc w:val="both"/>
        <w:rPr>
          <w:rFonts w:ascii="Arial" w:eastAsia="Arial" w:hAnsi="Arial" w:cs="Arial"/>
          <w:sz w:val="20"/>
          <w:szCs w:val="20"/>
        </w:rPr>
      </w:pPr>
      <w:r>
        <w:rPr>
          <w:rFonts w:ascii="Arial" w:eastAsia="Arial" w:hAnsi="Arial" w:cs="Arial"/>
          <w:sz w:val="20"/>
          <w:szCs w:val="20"/>
        </w:rPr>
        <w:t>No se acepta la observación.</w:t>
      </w:r>
    </w:p>
    <w:p w14:paraId="5615F079"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Entidad se permite aclarar que la obligación establecida en el apartado de obligaciones generales del comitente vendedor no incorpora certificaciones nuevas ni indeterminadas. Esta disposición remite expresamente a las certificaciones, normas y estándares que ya se encuentran definidos de manera particular en la Ficha Técnica de Producto correspondiente a cada bien o servicio.</w:t>
      </w:r>
    </w:p>
    <w:p w14:paraId="22B72F3F"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Ficha Técnica de Producto desarrolla individualmente las condiciones aplicables a cada ítem e identifica, según su naturaleza, las certificaciones ambientales, energéticas, de eficiencia, calidad, seguridad, compatibilidad, fabricación, garantía o respaldo técnico que deben cumplir los productos ofertados.</w:t>
      </w:r>
    </w:p>
    <w:p w14:paraId="689C3CD4"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En consecuencia, el alcance de la obligación debe determinarse mediante la lectura de la ficha técnica específica de cada producto relacionado. No existe una exigencia general y uniforme aplicable indistintamente a todos los bienes, puesto que cada certificación depende de las características y condiciones técnicas del respectivo equipo o solución.</w:t>
      </w:r>
    </w:p>
    <w:p w14:paraId="4CD69304"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Asimismo, cuando la Ficha Técnica de Producto establece un medio específico de acreditación, el comitente vendedor deberá cumplirlo en los términos allí señalados. Así, dependiendo del requisito, el cumplimiento podrá verificarse mediante la página web oficial del producto o del programa de certificación, la ficha técnica oficial del fabricante, un certificado expedido por el fabricante, un documento emitido por el organismo certificador competente o el soporte expresamente indicado en la respectiva ficha.</w:t>
      </w:r>
    </w:p>
    <w:p w14:paraId="5ED2DFE9"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obligación observada tiene como finalidad exigir el cumplimiento integral de las condiciones técnicas ya previstas para los productos y no trasladar al comitente vendedor la carga de identificar requisitos diferentes de los publicados.</w:t>
      </w:r>
    </w:p>
    <w:p w14:paraId="5AE4D738"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lastRenderedPageBreak/>
        <w:t>Por lo tanto, no resulta necesario incorporar una nueva relación o cuadro de certificaciones, toda vez que estas se encuentran descritas en las fichas individuales que integran la Ficha Técnica de Producto y deben ser verificadas conforme con el contenido particular de cada una.</w:t>
      </w:r>
    </w:p>
    <w:p w14:paraId="18215690"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Se aclara que la Entidad no exigirá certificaciones distintas de las expresamente establecidas en la Ficha Técnica de Negociación, en la Ficha Técnica de Producto y en las modificaciones que sean publicadas dentro del proceso.</w:t>
      </w:r>
    </w:p>
    <w:p w14:paraId="52029646"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Por los anteriores motivos, no se accede a la observación y se mantiene la obligación en los términos establecidos, aclarando que las certificaciones aplicables y sus medios de acreditación deberán verificarse en la ficha técnica correspondiente a cada producto.</w:t>
      </w:r>
    </w:p>
    <w:p w14:paraId="484BCB9A" w14:textId="77777777" w:rsidR="00BE6367" w:rsidRDefault="00BE6367">
      <w:pPr>
        <w:jc w:val="both"/>
        <w:rPr>
          <w:rFonts w:ascii="Arial" w:eastAsia="Arial" w:hAnsi="Arial" w:cs="Arial"/>
          <w:sz w:val="20"/>
          <w:szCs w:val="20"/>
        </w:rPr>
      </w:pPr>
    </w:p>
    <w:p w14:paraId="1ECEBA6C" w14:textId="77777777" w:rsidR="00BE6367" w:rsidRDefault="00BE6367">
      <w:pPr>
        <w:jc w:val="both"/>
        <w:rPr>
          <w:rFonts w:ascii="Arial" w:eastAsia="Arial" w:hAnsi="Arial" w:cs="Arial"/>
          <w:sz w:val="20"/>
          <w:szCs w:val="20"/>
        </w:rPr>
      </w:pPr>
    </w:p>
    <w:p w14:paraId="7BD29527" w14:textId="77777777" w:rsidR="00BE6367" w:rsidRDefault="00BE6367">
      <w:pPr>
        <w:jc w:val="both"/>
        <w:rPr>
          <w:rFonts w:ascii="Arial" w:eastAsia="Arial" w:hAnsi="Arial" w:cs="Arial"/>
          <w:sz w:val="20"/>
          <w:szCs w:val="20"/>
        </w:rPr>
      </w:pPr>
    </w:p>
    <w:tbl>
      <w:tblPr>
        <w:tblStyle w:val="af9"/>
        <w:tblW w:w="8353" w:type="dxa"/>
        <w:tblInd w:w="0"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1570"/>
        <w:gridCol w:w="6783"/>
      </w:tblGrid>
      <w:tr w:rsidR="00BE6367" w14:paraId="7A903AD2"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58B0E3CA"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Sociedad C. B.:</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151FA882"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MIGUEL QUIJANO Y CIA S.A.</w:t>
            </w:r>
          </w:p>
        </w:tc>
      </w:tr>
      <w:tr w:rsidR="00BE6367" w14:paraId="217F0824"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0A2D81F4"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Fecha Registro:</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0EDF2444"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2026-07-10 (15:45)</w:t>
            </w:r>
          </w:p>
        </w:tc>
      </w:tr>
    </w:tbl>
    <w:p w14:paraId="216812D7" w14:textId="77777777" w:rsidR="00BE6367" w:rsidRDefault="00BE6367">
      <w:pPr>
        <w:jc w:val="both"/>
        <w:rPr>
          <w:rFonts w:ascii="Arial" w:eastAsia="Arial" w:hAnsi="Arial" w:cs="Arial"/>
          <w:b/>
          <w:bCs/>
          <w:sz w:val="20"/>
          <w:szCs w:val="20"/>
        </w:rPr>
      </w:pPr>
    </w:p>
    <w:p w14:paraId="30A779B4"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Documento de Condiciones Especiales (DCE)</w:t>
      </w:r>
    </w:p>
    <w:p w14:paraId="23F4BFB1" w14:textId="77777777" w:rsidR="00BE6367" w:rsidRDefault="00BE6367">
      <w:pPr>
        <w:jc w:val="both"/>
        <w:rPr>
          <w:rFonts w:ascii="Arial" w:eastAsia="Arial" w:hAnsi="Arial" w:cs="Arial"/>
          <w:sz w:val="20"/>
          <w:szCs w:val="20"/>
        </w:rPr>
      </w:pPr>
    </w:p>
    <w:p w14:paraId="7F6A9FD8"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38832AAA"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1B0885B7"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30FE7BAC" w14:textId="77777777" w:rsidR="00BE6367" w:rsidRDefault="00BE6367">
      <w:pPr>
        <w:jc w:val="both"/>
        <w:rPr>
          <w:rFonts w:ascii="Arial" w:eastAsia="Arial" w:hAnsi="Arial" w:cs="Arial"/>
          <w:sz w:val="20"/>
          <w:szCs w:val="20"/>
        </w:rPr>
      </w:pPr>
    </w:p>
    <w:p w14:paraId="2DDB462F" w14:textId="77777777" w:rsidR="00BE6367" w:rsidRDefault="00BE6367">
      <w:pPr>
        <w:jc w:val="both"/>
        <w:rPr>
          <w:rFonts w:ascii="Arial" w:eastAsia="Arial" w:hAnsi="Arial" w:cs="Arial"/>
          <w:sz w:val="20"/>
          <w:szCs w:val="20"/>
        </w:rPr>
      </w:pPr>
    </w:p>
    <w:p w14:paraId="5020449A"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 xml:space="preserve">Documento(s) Adjunto(s): </w:t>
      </w:r>
    </w:p>
    <w:p w14:paraId="00F4A563" w14:textId="77777777" w:rsidR="00BE6367" w:rsidRDefault="00BE6367">
      <w:pPr>
        <w:jc w:val="both"/>
        <w:rPr>
          <w:rFonts w:ascii="Arial" w:eastAsia="Arial" w:hAnsi="Arial" w:cs="Arial"/>
          <w:sz w:val="20"/>
          <w:szCs w:val="20"/>
        </w:rPr>
      </w:pPr>
    </w:p>
    <w:p w14:paraId="4479677C" w14:textId="77777777" w:rsidR="00BE6367" w:rsidRDefault="00BE6367">
      <w:pPr>
        <w:jc w:val="both"/>
        <w:rPr>
          <w:rFonts w:ascii="Arial" w:eastAsia="Arial" w:hAnsi="Arial" w:cs="Arial"/>
          <w:sz w:val="20"/>
          <w:szCs w:val="20"/>
        </w:rPr>
      </w:pPr>
    </w:p>
    <w:p w14:paraId="0083D373" w14:textId="77777777" w:rsidR="00BE6367" w:rsidRDefault="00BE6367">
      <w:pPr>
        <w:jc w:val="both"/>
        <w:rPr>
          <w:rFonts w:ascii="Arial" w:eastAsia="Arial" w:hAnsi="Arial" w:cs="Arial"/>
          <w:sz w:val="20"/>
          <w:szCs w:val="20"/>
        </w:rPr>
      </w:pPr>
    </w:p>
    <w:p w14:paraId="5C5381B9"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Ficha Técnica de Negociación</w:t>
      </w:r>
    </w:p>
    <w:p w14:paraId="0AA470BA" w14:textId="77777777" w:rsidR="00BE6367" w:rsidRDefault="00BE6367">
      <w:pPr>
        <w:jc w:val="both"/>
        <w:rPr>
          <w:rFonts w:ascii="Arial" w:eastAsia="Arial" w:hAnsi="Arial" w:cs="Arial"/>
          <w:sz w:val="20"/>
          <w:szCs w:val="20"/>
        </w:rPr>
      </w:pPr>
    </w:p>
    <w:p w14:paraId="61853854" w14:textId="77777777" w:rsidR="00BE6367" w:rsidRDefault="00BE6367">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p>
    <w:p w14:paraId="4ECEE786" w14:textId="77777777" w:rsidR="00BE6367" w:rsidRDefault="00C90F6A">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r>
        <w:rPr>
          <w:rFonts w:ascii="Arial" w:eastAsia="Arial" w:hAnsi="Arial" w:cs="Arial"/>
          <w:sz w:val="20"/>
          <w:szCs w:val="20"/>
        </w:rPr>
        <w:t>O ser</w:t>
      </w:r>
    </w:p>
    <w:p w14:paraId="7294E6EE" w14:textId="77777777" w:rsidR="00BE6367" w:rsidRDefault="00BE6367">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p>
    <w:p w14:paraId="556C1DD7" w14:textId="77777777" w:rsidR="00BE6367" w:rsidRDefault="00BE6367">
      <w:pPr>
        <w:jc w:val="both"/>
        <w:rPr>
          <w:rFonts w:ascii="Arial" w:eastAsia="Arial" w:hAnsi="Arial" w:cs="Arial"/>
          <w:sz w:val="20"/>
          <w:szCs w:val="20"/>
        </w:rPr>
      </w:pPr>
    </w:p>
    <w:p w14:paraId="2FC191CE" w14:textId="77777777" w:rsidR="00BE6367" w:rsidRDefault="00BE6367">
      <w:pPr>
        <w:jc w:val="both"/>
        <w:rPr>
          <w:rFonts w:ascii="Arial" w:eastAsia="Arial" w:hAnsi="Arial" w:cs="Arial"/>
          <w:sz w:val="20"/>
          <w:szCs w:val="20"/>
        </w:rPr>
      </w:pPr>
    </w:p>
    <w:p w14:paraId="3003575D"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Documento(s) Adjunto(s): Sí</w:t>
      </w:r>
    </w:p>
    <w:p w14:paraId="0B3B6839" w14:textId="77777777" w:rsidR="00BE6367" w:rsidRDefault="00BE6367">
      <w:pPr>
        <w:jc w:val="both"/>
        <w:rPr>
          <w:rFonts w:ascii="Arial" w:eastAsia="Arial" w:hAnsi="Arial" w:cs="Arial"/>
          <w:sz w:val="20"/>
          <w:szCs w:val="20"/>
        </w:rPr>
      </w:pPr>
    </w:p>
    <w:p w14:paraId="011A1998" w14:textId="77777777" w:rsidR="00BE6367" w:rsidRDefault="00C90F6A">
      <w:pPr>
        <w:ind w:left="2832"/>
        <w:jc w:val="both"/>
        <w:rPr>
          <w:rFonts w:ascii="Arial" w:eastAsia="Arial" w:hAnsi="Arial" w:cs="Arial"/>
          <w:sz w:val="20"/>
          <w:szCs w:val="20"/>
        </w:rPr>
      </w:pPr>
      <w:r>
        <w:rPr>
          <w:rFonts w:ascii="Arial" w:eastAsia="Arial" w:hAnsi="Arial" w:cs="Arial"/>
          <w:b/>
          <w:bCs/>
          <w:sz w:val="20"/>
          <w:szCs w:val="20"/>
        </w:rPr>
        <w:t>Asunto:</w:t>
      </w:r>
      <w:r>
        <w:rPr>
          <w:rFonts w:ascii="Arial" w:eastAsia="Arial" w:hAnsi="Arial" w:cs="Arial"/>
          <w:sz w:val="20"/>
          <w:szCs w:val="20"/>
        </w:rPr>
        <w:t xml:space="preserve"> Observaciones a los requisitos habilitantes financieros y organizacionales aplicables a oferentes plurales.</w:t>
      </w:r>
    </w:p>
    <w:p w14:paraId="61548940" w14:textId="77777777" w:rsidR="00BE6367" w:rsidRDefault="00BE6367">
      <w:pPr>
        <w:jc w:val="both"/>
        <w:rPr>
          <w:rFonts w:ascii="Arial" w:eastAsia="Arial" w:hAnsi="Arial" w:cs="Arial"/>
          <w:sz w:val="20"/>
          <w:szCs w:val="20"/>
        </w:rPr>
      </w:pPr>
    </w:p>
    <w:p w14:paraId="03223C77" w14:textId="77777777" w:rsidR="00BE6367" w:rsidRDefault="00C90F6A">
      <w:pPr>
        <w:jc w:val="both"/>
        <w:rPr>
          <w:rFonts w:ascii="Arial" w:eastAsia="Arial" w:hAnsi="Arial" w:cs="Arial"/>
          <w:sz w:val="20"/>
          <w:szCs w:val="20"/>
        </w:rPr>
      </w:pPr>
      <w:r>
        <w:rPr>
          <w:rFonts w:ascii="Arial" w:eastAsia="Arial" w:hAnsi="Arial" w:cs="Arial"/>
          <w:sz w:val="20"/>
          <w:szCs w:val="20"/>
        </w:rPr>
        <w:t>Respetados señores:</w:t>
      </w:r>
    </w:p>
    <w:p w14:paraId="5376427F" w14:textId="77777777" w:rsidR="00BE6367" w:rsidRDefault="00BE6367">
      <w:pPr>
        <w:jc w:val="both"/>
        <w:rPr>
          <w:rFonts w:ascii="Arial" w:eastAsia="Arial" w:hAnsi="Arial" w:cs="Arial"/>
          <w:sz w:val="20"/>
          <w:szCs w:val="20"/>
        </w:rPr>
      </w:pPr>
    </w:p>
    <w:p w14:paraId="7AE1F4DA"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En el marco del proceso cuyo objeto consiste en la </w:t>
      </w:r>
      <w:r>
        <w:rPr>
          <w:rFonts w:ascii="Arial" w:eastAsia="Arial" w:hAnsi="Arial" w:cs="Arial"/>
          <w:i/>
          <w:iCs/>
          <w:sz w:val="20"/>
          <w:szCs w:val="20"/>
        </w:rPr>
        <w:t>“Adquisición, implementación y soporte tecnológico que incluya soluciones audiovisuales, equipos de cómputo y periféricos para la Procuraduría General de la Nación”,</w:t>
      </w:r>
      <w:r>
        <w:rPr>
          <w:rFonts w:ascii="Arial" w:eastAsia="Arial" w:hAnsi="Arial" w:cs="Arial"/>
          <w:sz w:val="20"/>
          <w:szCs w:val="20"/>
        </w:rPr>
        <w:t xml:space="preserve"> nos permitimos presentar las siguientes observaciones frente a los aspectos habilitantes y técnicos:</w:t>
      </w:r>
    </w:p>
    <w:p w14:paraId="497B438F" w14:textId="77777777" w:rsidR="00BE6367" w:rsidRDefault="00BE6367">
      <w:pPr>
        <w:jc w:val="both"/>
        <w:rPr>
          <w:rFonts w:ascii="Arial" w:eastAsia="Arial" w:hAnsi="Arial" w:cs="Arial"/>
          <w:sz w:val="20"/>
          <w:szCs w:val="20"/>
        </w:rPr>
      </w:pPr>
    </w:p>
    <w:p w14:paraId="18DBA23D" w14:textId="77777777" w:rsidR="00BE6367" w:rsidRDefault="00BE6367">
      <w:pPr>
        <w:jc w:val="both"/>
        <w:rPr>
          <w:rFonts w:ascii="Arial" w:eastAsia="Arial" w:hAnsi="Arial" w:cs="Arial"/>
          <w:sz w:val="20"/>
          <w:szCs w:val="20"/>
        </w:rPr>
      </w:pPr>
    </w:p>
    <w:p w14:paraId="3CEBB71B"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#1</w:t>
      </w:r>
    </w:p>
    <w:p w14:paraId="39DC6272" w14:textId="77777777" w:rsidR="00BE6367" w:rsidRDefault="00C90F6A">
      <w:pPr>
        <w:jc w:val="both"/>
        <w:rPr>
          <w:rFonts w:ascii="Arial" w:eastAsia="Arial" w:hAnsi="Arial" w:cs="Arial"/>
          <w:sz w:val="20"/>
          <w:szCs w:val="20"/>
        </w:rPr>
      </w:pPr>
      <w:r>
        <w:rPr>
          <w:rFonts w:ascii="Arial" w:eastAsia="Arial" w:hAnsi="Arial" w:cs="Arial"/>
          <w:sz w:val="20"/>
          <w:szCs w:val="20"/>
        </w:rPr>
        <w:t>Con respecto a la capacidad financiera y organizacional aplicables a los proponentes plurales, establecidos en la Ficha Técnica de Negociación:</w:t>
      </w:r>
    </w:p>
    <w:p w14:paraId="56B98EDF" w14:textId="77777777" w:rsidR="00BE6367" w:rsidRDefault="00C90F6A">
      <w:pPr>
        <w:jc w:val="both"/>
        <w:rPr>
          <w:rFonts w:ascii="Arial" w:eastAsia="Arial" w:hAnsi="Arial" w:cs="Arial"/>
          <w:sz w:val="20"/>
          <w:szCs w:val="20"/>
        </w:rPr>
      </w:pPr>
      <w:r>
        <w:rPr>
          <w:rFonts w:ascii="Arial" w:eastAsia="Arial" w:hAnsi="Arial" w:cs="Arial"/>
          <w:sz w:val="20"/>
          <w:szCs w:val="20"/>
        </w:rPr>
        <w:t>La ficha técnica establece que los proponentes deberán cumplir con los siguientes indicadores para verificar su capacidad financiera:</w:t>
      </w:r>
    </w:p>
    <w:p w14:paraId="27AAEA96" w14:textId="77777777" w:rsidR="00BE6367" w:rsidRDefault="00C90F6A">
      <w:pPr>
        <w:jc w:val="both"/>
        <w:rPr>
          <w:rFonts w:ascii="Arial" w:eastAsia="Arial" w:hAnsi="Arial" w:cs="Arial"/>
          <w:sz w:val="20"/>
          <w:szCs w:val="20"/>
        </w:rPr>
      </w:pPr>
      <w:r>
        <w:rPr>
          <w:rFonts w:ascii="Arial" w:eastAsia="Arial" w:hAnsi="Arial" w:cs="Arial"/>
          <w:noProof/>
          <w:sz w:val="20"/>
          <w:szCs w:val="20"/>
        </w:rPr>
        <w:drawing>
          <wp:inline distT="0" distB="0" distL="0" distR="0" wp14:anchorId="0506D8D3" wp14:editId="72B8BBE4">
            <wp:extent cx="4635500" cy="131191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4635500" cy="1311910"/>
                    </a:xfrm>
                    <a:prstGeom prst="rect">
                      <a:avLst/>
                    </a:prstGeom>
                    <a:ln/>
                  </pic:spPr>
                </pic:pic>
              </a:graphicData>
            </a:graphic>
          </wp:inline>
        </w:drawing>
      </w:r>
    </w:p>
    <w:p w14:paraId="62F653B5" w14:textId="77777777" w:rsidR="00BE6367" w:rsidRDefault="00BE6367">
      <w:pPr>
        <w:jc w:val="both"/>
        <w:rPr>
          <w:rFonts w:ascii="Arial" w:eastAsia="Arial" w:hAnsi="Arial" w:cs="Arial"/>
          <w:sz w:val="20"/>
          <w:szCs w:val="20"/>
        </w:rPr>
      </w:pPr>
    </w:p>
    <w:p w14:paraId="1EF63114" w14:textId="77777777" w:rsidR="00BE6367" w:rsidRDefault="00C90F6A">
      <w:pPr>
        <w:jc w:val="both"/>
        <w:rPr>
          <w:rFonts w:ascii="Arial" w:eastAsia="Arial" w:hAnsi="Arial" w:cs="Arial"/>
          <w:sz w:val="20"/>
          <w:szCs w:val="20"/>
        </w:rPr>
      </w:pPr>
      <w:r>
        <w:rPr>
          <w:rFonts w:ascii="Arial" w:eastAsia="Arial" w:hAnsi="Arial" w:cs="Arial"/>
          <w:sz w:val="20"/>
          <w:szCs w:val="20"/>
        </w:rPr>
        <w:t>Así mismo, dispone que: “</w:t>
      </w:r>
      <w:r>
        <w:rPr>
          <w:rFonts w:ascii="Arial" w:eastAsia="Arial" w:hAnsi="Arial" w:cs="Arial"/>
          <w:b/>
          <w:bCs/>
          <w:i/>
          <w:iCs/>
          <w:sz w:val="20"/>
          <w:szCs w:val="20"/>
        </w:rPr>
        <w:t xml:space="preserve">Cuando se trate de </w:t>
      </w:r>
      <w:r>
        <w:rPr>
          <w:rFonts w:ascii="Arial" w:eastAsia="Arial" w:hAnsi="Arial" w:cs="Arial"/>
          <w:b/>
          <w:bCs/>
          <w:i/>
          <w:iCs/>
          <w:sz w:val="20"/>
          <w:szCs w:val="20"/>
          <w:u w:val="single"/>
        </w:rPr>
        <w:t>consorcios o uniones temporales</w:t>
      </w:r>
      <w:r>
        <w:rPr>
          <w:rFonts w:ascii="Arial" w:eastAsia="Arial" w:hAnsi="Arial" w:cs="Arial"/>
          <w:b/>
          <w:bCs/>
          <w:i/>
          <w:iCs/>
          <w:sz w:val="20"/>
          <w:szCs w:val="20"/>
        </w:rPr>
        <w:t xml:space="preserve">, para los Índices de Liquidez, Endeudamiento y Razón de Cobertura de Intereses, cada uno de los integrantes deberá cumplir con el valor requerido.”. </w:t>
      </w:r>
    </w:p>
    <w:p w14:paraId="65C59C70" w14:textId="77777777" w:rsidR="00BE6367" w:rsidRDefault="00C90F6A">
      <w:pPr>
        <w:jc w:val="both"/>
        <w:rPr>
          <w:rFonts w:ascii="Arial" w:eastAsia="Arial" w:hAnsi="Arial" w:cs="Arial"/>
          <w:sz w:val="20"/>
          <w:szCs w:val="20"/>
        </w:rPr>
      </w:pPr>
      <w:r>
        <w:rPr>
          <w:rFonts w:ascii="Arial" w:eastAsia="Arial" w:hAnsi="Arial" w:cs="Arial"/>
          <w:sz w:val="20"/>
          <w:szCs w:val="20"/>
        </w:rPr>
        <w:t>De la misma manera, en relación con la capacidad organizacional, la ficha técnica indica que “</w:t>
      </w:r>
      <w:r>
        <w:rPr>
          <w:rFonts w:ascii="Arial" w:eastAsia="Arial" w:hAnsi="Arial" w:cs="Arial"/>
          <w:b/>
          <w:bCs/>
          <w:i/>
          <w:iCs/>
          <w:sz w:val="20"/>
          <w:szCs w:val="20"/>
        </w:rPr>
        <w:t>Cuando se trate de consorcios o uniones temporales, para los Indicadores de Rentabilidad del Activo y Rentabilidad del Patrimonio, cada uno de los integrantes deberá cumplir con el valor requerido para cada uno de los indicadores</w:t>
      </w:r>
      <w:r>
        <w:rPr>
          <w:rFonts w:ascii="Arial" w:eastAsia="Arial" w:hAnsi="Arial" w:cs="Arial"/>
          <w:sz w:val="20"/>
          <w:szCs w:val="20"/>
        </w:rPr>
        <w:t xml:space="preserve">”. </w:t>
      </w:r>
    </w:p>
    <w:p w14:paraId="690F5C29" w14:textId="77777777" w:rsidR="00BE6367" w:rsidRDefault="00C90F6A">
      <w:pPr>
        <w:jc w:val="both"/>
        <w:rPr>
          <w:rFonts w:ascii="Arial" w:eastAsia="Arial" w:hAnsi="Arial" w:cs="Arial"/>
          <w:i/>
          <w:iCs/>
          <w:sz w:val="20"/>
          <w:szCs w:val="20"/>
        </w:rPr>
      </w:pPr>
      <w:r>
        <w:rPr>
          <w:rFonts w:ascii="Arial" w:eastAsia="Arial" w:hAnsi="Arial" w:cs="Arial"/>
          <w:sz w:val="20"/>
          <w:szCs w:val="20"/>
        </w:rPr>
        <w:t>La exigencia anteriormente descrita resulta restrictiva de la libre concurrencia y limita injustificadamente la participación de proponentes plurales, pues las figuras asociativas previstas en el artículo 7 de la Ley 80 de 1993, fueron concebidas precisamente para permitir que distintos operadores económicos unan y complementen sus capacidades técnicas, financieras, operativas y organizacionales para participar conjuntamente en procesos de contratación estatal.</w:t>
      </w:r>
    </w:p>
    <w:p w14:paraId="0D4F8B2E" w14:textId="77777777" w:rsidR="00BE6367" w:rsidRDefault="00C90F6A">
      <w:pPr>
        <w:jc w:val="both"/>
        <w:rPr>
          <w:rFonts w:ascii="Arial" w:eastAsia="Arial" w:hAnsi="Arial" w:cs="Arial"/>
          <w:sz w:val="20"/>
          <w:szCs w:val="20"/>
        </w:rPr>
      </w:pPr>
      <w:r>
        <w:rPr>
          <w:rFonts w:ascii="Arial" w:eastAsia="Arial" w:hAnsi="Arial" w:cs="Arial"/>
          <w:sz w:val="20"/>
          <w:szCs w:val="20"/>
        </w:rPr>
        <w:lastRenderedPageBreak/>
        <w:t>En efecto, la finalidad de un consorcio o una unión temporal no consiste en que cada integrante, de manera aislada, reúna por sí mismo todas las condiciones exigidas al proponente, sino que sea el oferente plural, evaluado integralmente, quien demuestre la capacidad requerida para la adecuada ejecución del contrato.</w:t>
      </w:r>
    </w:p>
    <w:p w14:paraId="3F9B27F9" w14:textId="77777777" w:rsidR="00BE6367" w:rsidRDefault="00C90F6A">
      <w:pPr>
        <w:jc w:val="both"/>
        <w:rPr>
          <w:rFonts w:ascii="Arial" w:eastAsia="Arial" w:hAnsi="Arial" w:cs="Arial"/>
          <w:sz w:val="20"/>
          <w:szCs w:val="20"/>
        </w:rPr>
      </w:pPr>
      <w:r>
        <w:rPr>
          <w:rFonts w:ascii="Arial" w:eastAsia="Arial" w:hAnsi="Arial" w:cs="Arial"/>
          <w:sz w:val="20"/>
          <w:szCs w:val="20"/>
        </w:rPr>
        <w:t>Bajo la regla prevista en la ficha técnica, un integrante que aporte experiencia especializada, respaldo operativo, capacidad técnica o capacidad financiera, pero que no alcance individualmente alguno de los indicadores exigidos, quedaría excluido de participar, aun cuando el consorcio o unión temporal, considerado como una unidad económica y contractual, cuente con plena capacidad para ejecutar el negocio.</w:t>
      </w:r>
    </w:p>
    <w:p w14:paraId="3E594124" w14:textId="77777777" w:rsidR="00BE6367" w:rsidRDefault="00C90F6A">
      <w:pPr>
        <w:jc w:val="both"/>
        <w:rPr>
          <w:rFonts w:ascii="Arial" w:eastAsia="Arial" w:hAnsi="Arial" w:cs="Arial"/>
          <w:sz w:val="20"/>
          <w:szCs w:val="20"/>
        </w:rPr>
      </w:pPr>
      <w:r>
        <w:rPr>
          <w:rFonts w:ascii="Arial" w:eastAsia="Arial" w:hAnsi="Arial" w:cs="Arial"/>
          <w:sz w:val="20"/>
          <w:szCs w:val="20"/>
        </w:rPr>
        <w:t>Lo anterior desconoce los principios de transparencia y selección objetiva previstos en los artículos 24 y 29 de la Ley 80 de 1993, en virtud de los cuales los requisitos habilitantes deben estructurarse de manera objetiva, proporcional y razonable, evitando restricciones injustificadas a la participación de potenciales oferentes.</w:t>
      </w:r>
    </w:p>
    <w:p w14:paraId="0124D913" w14:textId="77777777" w:rsidR="00BE6367" w:rsidRDefault="00BE6367">
      <w:pPr>
        <w:jc w:val="both"/>
        <w:rPr>
          <w:rFonts w:ascii="Arial" w:eastAsia="Arial" w:hAnsi="Arial" w:cs="Arial"/>
          <w:sz w:val="20"/>
          <w:szCs w:val="20"/>
        </w:rPr>
      </w:pPr>
    </w:p>
    <w:p w14:paraId="7DA85CF4"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De igual manera, el artículo 5 de la Ley 1150 de 2007, que establece que la experiencia, la capacidad financiera, la capacidad organizacional y la capacidad jurídica constituyen requisitos habilitantes cuya finalidad exclusiva es verificar la aptitud del proponente para ejecutar el contrato. En consecuencia, dichos requisitos deben debe ser </w:t>
      </w:r>
      <w:r>
        <w:rPr>
          <w:rFonts w:ascii="Arial" w:eastAsia="Arial" w:hAnsi="Arial" w:cs="Arial"/>
          <w:i/>
          <w:iCs/>
          <w:sz w:val="20"/>
          <w:szCs w:val="20"/>
        </w:rPr>
        <w:t xml:space="preserve">adecuados y proporcionales </w:t>
      </w:r>
      <w:r>
        <w:rPr>
          <w:rFonts w:ascii="Arial" w:eastAsia="Arial" w:hAnsi="Arial" w:cs="Arial"/>
          <w:sz w:val="20"/>
          <w:szCs w:val="20"/>
        </w:rPr>
        <w:t>con el objeto contractual, y no pueden convertirse en barreras que restrinjan innecesariamente la pluralidad de oferentes.</w:t>
      </w:r>
    </w:p>
    <w:p w14:paraId="3F02FF8B" w14:textId="77777777" w:rsidR="00BE6367" w:rsidRDefault="00C90F6A">
      <w:pPr>
        <w:jc w:val="both"/>
        <w:rPr>
          <w:rFonts w:ascii="Arial" w:eastAsia="Arial" w:hAnsi="Arial" w:cs="Arial"/>
          <w:sz w:val="20"/>
          <w:szCs w:val="20"/>
        </w:rPr>
      </w:pPr>
      <w:r>
        <w:rPr>
          <w:rFonts w:ascii="Arial" w:eastAsia="Arial" w:hAnsi="Arial" w:cs="Arial"/>
          <w:sz w:val="20"/>
          <w:szCs w:val="20"/>
        </w:rPr>
        <w:t>Teniendo en cuenta lo anterior, solicitamos respetuosamente a la Entidad, revisar y modificar la condición prevista para los proponentes plurales dentro de los requisitos de capacidad financiera y organizacional, en el sentido de que estos sean evaluados respecto del proponente plural, atendiendo los porcentajes de participación de sus miembros dentro de la respectiva unión temporal o consorcio, sin exigir el cumplimiento individual de cada indicador por parte de todos sus integrantes.</w:t>
      </w:r>
    </w:p>
    <w:p w14:paraId="71124319" w14:textId="77777777" w:rsidR="00BE6367" w:rsidRDefault="00C90F6A">
      <w:pPr>
        <w:jc w:val="both"/>
        <w:rPr>
          <w:rFonts w:ascii="Arial" w:eastAsia="Arial" w:hAnsi="Arial" w:cs="Arial"/>
          <w:sz w:val="20"/>
          <w:szCs w:val="20"/>
        </w:rPr>
      </w:pPr>
      <w:r>
        <w:rPr>
          <w:rFonts w:ascii="Arial" w:eastAsia="Arial" w:hAnsi="Arial" w:cs="Arial"/>
          <w:b/>
          <w:bCs/>
          <w:sz w:val="20"/>
          <w:szCs w:val="20"/>
        </w:rPr>
        <w:t>RESPUESTA A LA OBSERVACIÓN:</w:t>
      </w:r>
      <w:r>
        <w:rPr>
          <w:rFonts w:ascii="Arial" w:eastAsia="Arial" w:hAnsi="Arial" w:cs="Arial"/>
          <w:sz w:val="20"/>
          <w:szCs w:val="20"/>
        </w:rPr>
        <w:t xml:space="preserve"> </w:t>
      </w:r>
    </w:p>
    <w:p w14:paraId="64A4FA7C" w14:textId="77777777" w:rsidR="00BE6367" w:rsidRDefault="00C90F6A">
      <w:pPr>
        <w:jc w:val="both"/>
        <w:rPr>
          <w:rFonts w:ascii="Arial" w:eastAsia="Arial" w:hAnsi="Arial" w:cs="Arial"/>
          <w:sz w:val="20"/>
          <w:szCs w:val="20"/>
        </w:rPr>
      </w:pPr>
      <w:r>
        <w:rPr>
          <w:rFonts w:ascii="Arial" w:eastAsia="Arial" w:hAnsi="Arial" w:cs="Arial"/>
          <w:sz w:val="20"/>
          <w:szCs w:val="20"/>
        </w:rPr>
        <w:t>No se acepta la observación.</w:t>
      </w:r>
    </w:p>
    <w:p w14:paraId="282A502C"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Procuraduría General de la Nación mantiene las reglas establecidas para la verificación de la capacidad financiera y organizacional de los comitentes vendedores plurales, conforme con las cuales cada uno de los integrantes del consorcio o unión temporal deberá cumplir individualmente los indicadores de liquidez, endeudamiento, razón de cobertura de intereses, rentabilidad del activo y rentabilidad del patrimonio.</w:t>
      </w:r>
    </w:p>
    <w:p w14:paraId="7A527BC0"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Entidad reconoce que los consorcios y las uniones temporales constituyen mecanismos de colaboración empresarial mediante los cuales diferentes personas naturales o jurídicas pueden integrar y complementar sus capacidades para participar conjuntamente en un proceso de contratación. No obstante, dicha posibilidad asociativa no impide que la Entidad establezca condiciones mínimas aplicables a cada integrante, cuando estas resulten necesarias para verificar que todos los miembros de la estructura plural cuentan con una situación financiera y organizacional adecuada.</w:t>
      </w:r>
    </w:p>
    <w:p w14:paraId="496277C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Los indicadores objeto de la observación no miden exclusivamente la capacidad económica global para asumir el valor de la negociación. Cada uno permite identificar condiciones particulares de estabilidad y sostenibilidad empresarial:</w:t>
      </w:r>
    </w:p>
    <w:p w14:paraId="619AC179"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 xml:space="preserve">La liquidez verifica la capacidad para atender las obligaciones de corto plazo; el endeudamiento permite establecer el nivel de compromiso de los activos frente a terceros; la razón de cobertura </w:t>
      </w:r>
      <w:r>
        <w:rPr>
          <w:rFonts w:ascii="Arial" w:eastAsia="Arial" w:hAnsi="Arial" w:cs="Arial"/>
          <w:sz w:val="20"/>
          <w:szCs w:val="20"/>
        </w:rPr>
        <w:lastRenderedPageBreak/>
        <w:t>de intereses mide la capacidad de la operación empresarial para atender los gastos financieros; y los indicadores de rentabilidad permiten verificar que cada organización genera resultados operacionales positivos respecto de sus activos y patrimonio.</w:t>
      </w:r>
    </w:p>
    <w:p w14:paraId="08FD1C2C"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evaluación ponderada propuesta podría permitir que la fortaleza financiera de uno de los integrantes compense integralmente las condiciones desfavorables de otro, aun cuando este último tenga a su cargo actividades relevantes dentro de la ejecución. Tal situación podría incrementar los riesgos operativos, administrativos y financieros de la negociación, especialmente si alguno de los miembros presenta dificultades para cumplir las obligaciones correspondientes a su participación.</w:t>
      </w:r>
    </w:p>
    <w:p w14:paraId="712E75F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Entidad debe considerar que, aunque el proponente plural presenta una oferta conjunta, sus integrantes participan directamente en la ejecución contractual, aportan recursos, asumen obligaciones y responden de acuerdo con el régimen aplicable al consorcio o unión temporal. Por ello, resulta necesario verificar que ninguno de los integrantes presente indicadores inferiores a los niveles mínimos definidos para el proceso.</w:t>
      </w:r>
    </w:p>
    <w:p w14:paraId="1E703E21"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regla establecida tampoco exige que cada integrante acredite por sí solo la totalidad de la capacidad económica necesaria para ejecutar el contrato. En efecto, la FTN dispone que el capital de trabajo del oferente plural será calculado mediante la sumatoria de los activos corrientes de sus integrantes menos la sumatoria de sus pasivos corrientes. De esta manera, para el indicador directamente asociado con los recursos disponibles para la ejecución, la Entidad sí reconoce la capacidad conjunta de la estructura plural.</w:t>
      </w:r>
    </w:p>
    <w:p w14:paraId="530C30DC"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aplicación individual de los demás indicadores responde a que estos no se determinan por la simple acumulación de cifras, sino que evalúan la situación financiera y organizacional propia de cada integrante. La ponderación de razones financieras puede ocultar niveles elevados de endeudamiento, insuficiencia de liquidez, incapacidad para cubrir intereses o resultados operacionales negativos de uno de los miembros.</w:t>
      </w:r>
    </w:p>
    <w:p w14:paraId="15BB3C98"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Asimismo, la condición se aplica de manera general y objetiva a todos los interesados que participen mediante consorcio o unión temporal. La conformación de una estructura plural es una decisión autónoma de sus integrantes, quienes deben verificar previamente que las empresas que la conforman satisfacen los requisitos mínimos establecidos por la Entidad.</w:t>
      </w:r>
    </w:p>
    <w:p w14:paraId="4B10506F"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pluralidad de oferentes y la libre concurrencia no implican que la Entidad deba permitir que un integrante que no cumpla los niveles mínimos de capacidad financiera u organizacional sea habilitado mediante la compensación de los indicadores de otro miembro. Estos principios deben armonizarse con la selección objetiva, la adecuada gestión de los riesgos y la protección de los recursos públicos.</w:t>
      </w:r>
    </w:p>
    <w:p w14:paraId="4BEA9B86" w14:textId="77777777" w:rsidR="00BE6367" w:rsidRDefault="00BE6367">
      <w:pPr>
        <w:jc w:val="both"/>
        <w:rPr>
          <w:rFonts w:ascii="Arial" w:eastAsia="Arial" w:hAnsi="Arial" w:cs="Arial"/>
          <w:sz w:val="20"/>
          <w:szCs w:val="20"/>
        </w:rPr>
      </w:pPr>
    </w:p>
    <w:p w14:paraId="025D3E6C"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OBSERVACIÓN #2 </w:t>
      </w:r>
    </w:p>
    <w:p w14:paraId="4E306770" w14:textId="77777777" w:rsidR="00BE6367" w:rsidRDefault="00BE6367">
      <w:pPr>
        <w:jc w:val="both"/>
        <w:rPr>
          <w:rFonts w:ascii="Arial" w:eastAsia="Arial" w:hAnsi="Arial" w:cs="Arial"/>
          <w:b/>
          <w:bCs/>
          <w:sz w:val="20"/>
          <w:szCs w:val="20"/>
        </w:rPr>
      </w:pPr>
    </w:p>
    <w:p w14:paraId="31FD01FE" w14:textId="77777777" w:rsidR="00BE6367" w:rsidRDefault="00C90F6A">
      <w:pPr>
        <w:jc w:val="both"/>
        <w:rPr>
          <w:rFonts w:ascii="Arial" w:eastAsia="Arial" w:hAnsi="Arial" w:cs="Arial"/>
          <w:sz w:val="20"/>
          <w:szCs w:val="20"/>
        </w:rPr>
      </w:pPr>
      <w:r>
        <w:rPr>
          <w:rFonts w:ascii="Arial" w:eastAsia="Arial" w:hAnsi="Arial" w:cs="Arial"/>
          <w:sz w:val="20"/>
          <w:szCs w:val="20"/>
        </w:rPr>
        <w:t>Solicitamos a la Entidad revisar la posibilidad de separar por lotes la adquisición del listado de equipos, de tal manera que los equipos de cómputo hagan parte de un grupo separado del resto.</w:t>
      </w:r>
    </w:p>
    <w:p w14:paraId="524230A2" w14:textId="77777777" w:rsidR="00BE6367" w:rsidRDefault="00BE6367">
      <w:pPr>
        <w:jc w:val="both"/>
        <w:rPr>
          <w:rFonts w:ascii="Arial" w:eastAsia="Arial" w:hAnsi="Arial" w:cs="Arial"/>
          <w:sz w:val="20"/>
          <w:szCs w:val="20"/>
        </w:rPr>
      </w:pPr>
    </w:p>
    <w:p w14:paraId="50509C01" w14:textId="77777777" w:rsidR="00BE6367" w:rsidRDefault="00C90F6A">
      <w:pPr>
        <w:jc w:val="both"/>
        <w:rPr>
          <w:rFonts w:ascii="Arial" w:eastAsia="Arial" w:hAnsi="Arial" w:cs="Arial"/>
          <w:sz w:val="20"/>
          <w:szCs w:val="20"/>
        </w:rPr>
      </w:pPr>
      <w:r>
        <w:rPr>
          <w:rFonts w:ascii="Arial" w:eastAsia="Arial" w:hAnsi="Arial" w:cs="Arial"/>
          <w:sz w:val="20"/>
          <w:szCs w:val="20"/>
        </w:rPr>
        <w:t>Esto daría la oportunidad que varios interesados puedan presentar su oferta comercial.</w:t>
      </w:r>
    </w:p>
    <w:p w14:paraId="3F7DB472" w14:textId="77777777" w:rsidR="00BE6367" w:rsidRDefault="00BE6367">
      <w:pPr>
        <w:jc w:val="both"/>
        <w:rPr>
          <w:rFonts w:ascii="Arial" w:eastAsia="Arial" w:hAnsi="Arial" w:cs="Arial"/>
          <w:sz w:val="20"/>
          <w:szCs w:val="20"/>
        </w:rPr>
      </w:pPr>
    </w:p>
    <w:p w14:paraId="54804A56" w14:textId="77777777" w:rsidR="00BE6367" w:rsidRDefault="00BE6367">
      <w:pPr>
        <w:jc w:val="both"/>
        <w:rPr>
          <w:rFonts w:ascii="Arial" w:eastAsia="Arial" w:hAnsi="Arial" w:cs="Arial"/>
          <w:sz w:val="20"/>
          <w:szCs w:val="20"/>
        </w:rPr>
      </w:pPr>
    </w:p>
    <w:p w14:paraId="58B0A5AC"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0BD0AEEC" w14:textId="77777777" w:rsidR="00BE6367" w:rsidRDefault="00C90F6A">
      <w:pPr>
        <w:jc w:val="both"/>
        <w:rPr>
          <w:rFonts w:ascii="Arial" w:eastAsia="Arial" w:hAnsi="Arial" w:cs="Arial"/>
          <w:sz w:val="20"/>
          <w:szCs w:val="20"/>
        </w:rPr>
      </w:pPr>
      <w:r>
        <w:rPr>
          <w:rFonts w:ascii="Arial" w:eastAsia="Arial" w:hAnsi="Arial" w:cs="Arial"/>
          <w:sz w:val="20"/>
          <w:szCs w:val="20"/>
        </w:rPr>
        <w:t>No se acepta la observación.</w:t>
      </w:r>
    </w:p>
    <w:p w14:paraId="5FD35BBD"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Entidad mantiene la estructuración de la negociación mediante un único conjunto de bienes y servicios, en una (1) sola operación, conforme con lo establecido en la Ficha Técnica de Negociación.</w:t>
      </w:r>
    </w:p>
    <w:p w14:paraId="4A7350DA"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agrupación definida responde al carácter integral de la necesidad institucional, la cual no se limita a la adquisición aislada de equipos de cómputo, sino que comprende el suministro, implementación y soporte de soluciones tecnológicas, equipos de cómputo, periféricos, componentes audiovisuales y servicios asociados.</w:t>
      </w:r>
    </w:p>
    <w:p w14:paraId="44F1AA50"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Aunque los bienes pertenecen a diferentes líneas tecnológicas, estos hacen parte de una misma estrategia de modernización y fortalecimiento de la infraestructura tecnológica de la Procuraduría General de la Nación. En consecuencia, la Entidad requiere una ejecución coordinada que permita garantizar la compatibilidad, interoperabilidad, instalación, configuración, puesta en funcionamiento, gestión de garantías y soporte integral de los componentes adquiridos.</w:t>
      </w:r>
    </w:p>
    <w:p w14:paraId="061FA737"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separación de los equipos de cómputo en un lote independiente implicaría dividir la responsabilidad contractual entre diferentes proveedores y podría generar dificultades relacionadas con la coordinación de entregas, administración de garantías, cumplimiento del cronograma, integración de componentes y determinación de responsabilidades frente a eventuales incumplimientos o fallas.</w:t>
      </w:r>
    </w:p>
    <w:p w14:paraId="075EAEE4"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contratación mediante una sola operación permite centralizar la responsabilidad en el comitente vendedor, facilitar el seguimiento técnico y administrativo, unificar las condiciones de entrega y soporte y garantizar una ejecución integral del objeto contractual.</w:t>
      </w:r>
    </w:p>
    <w:p w14:paraId="5668265C"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De igual manera, la modalidad de puja por precio por conjunto permite aplicar el porcentaje de descuento obtenido en la rueda de negociación sobre cada uno de los precios unitarios de los bienes y servicios que integran la operación, favoreciendo economías de escala y una gestión más eficiente de los recursos públicos.</w:t>
      </w:r>
    </w:p>
    <w:p w14:paraId="749486D6"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Entidad aclara que la configuración del proceso en un único conjunto no exige necesariamente que una sola empresa disponga individualmente de todas las capacidades requeridas. Los interesados podrán participar mediante consorcios o uniones temporales, integrando las capacidades técnicas, financieras, comerciales y operativas de diferentes empresas especializadas.</w:t>
      </w:r>
    </w:p>
    <w:p w14:paraId="0105C3C5"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Por lo tanto, la posibilidad de conformar estructuras plurales permite la participación de empresas dedicadas principalmente al suministro de equipos de cómputo junto con compañías especializadas en soluciones audiovisuales, integración tecnológica, instalación o soporte, sin que resulte necesario dividir la operación en lotes independientes.</w:t>
      </w:r>
    </w:p>
    <w:p w14:paraId="55341224"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La pluralidad de oferentes no se garantiza únicamente mediante la separación del objeto contractual. Esta debe analizarse conjuntamente con las características del mercado, la posibilidad de participación mediante figuras asociativas y la existencia de integradores y distribuidores con capacidad para atender soluciones tecnológicas integrales.</w:t>
      </w:r>
    </w:p>
    <w:p w14:paraId="49A8C40C"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t>Así las cosas, la Entidad considera que la estructura definida responde a criterios de planeación, eficiencia, economía, coordinación operativa y adecuada gestión de riesgos.</w:t>
      </w:r>
    </w:p>
    <w:p w14:paraId="6A75E4E9" w14:textId="77777777" w:rsidR="00BE6367" w:rsidRDefault="00C90F6A">
      <w:pPr>
        <w:spacing w:before="240" w:after="240"/>
        <w:jc w:val="both"/>
        <w:rPr>
          <w:rFonts w:ascii="Arial" w:eastAsia="Arial" w:hAnsi="Arial" w:cs="Arial"/>
          <w:sz w:val="20"/>
          <w:szCs w:val="20"/>
        </w:rPr>
      </w:pPr>
      <w:r>
        <w:rPr>
          <w:rFonts w:ascii="Arial" w:eastAsia="Arial" w:hAnsi="Arial" w:cs="Arial"/>
          <w:sz w:val="20"/>
          <w:szCs w:val="20"/>
        </w:rPr>
        <w:lastRenderedPageBreak/>
        <w:t>Por los anteriores motivos, no se accede a la solicitud de separar los equipos de cómputo del resto de los bienes y servicios, y se mantiene la negociación en un único conjunto y en una sola operación.</w:t>
      </w:r>
    </w:p>
    <w:p w14:paraId="47DBB5B5" w14:textId="77777777" w:rsidR="00BE6367" w:rsidRDefault="00BE6367">
      <w:pPr>
        <w:jc w:val="both"/>
        <w:rPr>
          <w:rFonts w:ascii="Arial" w:eastAsia="Arial" w:hAnsi="Arial" w:cs="Arial"/>
          <w:b/>
          <w:bCs/>
          <w:sz w:val="20"/>
          <w:szCs w:val="20"/>
        </w:rPr>
      </w:pPr>
    </w:p>
    <w:p w14:paraId="52D6AC48"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#3</w:t>
      </w:r>
    </w:p>
    <w:p w14:paraId="109C2398" w14:textId="77777777" w:rsidR="00BE6367" w:rsidRDefault="00BE6367">
      <w:pPr>
        <w:jc w:val="both"/>
        <w:rPr>
          <w:rFonts w:ascii="Arial" w:eastAsia="Arial" w:hAnsi="Arial" w:cs="Arial"/>
          <w:sz w:val="20"/>
          <w:szCs w:val="20"/>
        </w:rPr>
      </w:pPr>
    </w:p>
    <w:p w14:paraId="510E451A" w14:textId="77777777" w:rsidR="00BE6367" w:rsidRDefault="00C90F6A">
      <w:pPr>
        <w:jc w:val="both"/>
        <w:rPr>
          <w:rFonts w:ascii="Arial" w:eastAsia="Arial" w:hAnsi="Arial" w:cs="Arial"/>
          <w:sz w:val="20"/>
          <w:szCs w:val="20"/>
        </w:rPr>
      </w:pPr>
      <w:r>
        <w:rPr>
          <w:rFonts w:ascii="Arial" w:eastAsia="Arial" w:hAnsi="Arial" w:cs="Arial"/>
          <w:sz w:val="20"/>
          <w:szCs w:val="20"/>
        </w:rPr>
        <w:t>Respecto a las especificaciones técnicas de los equipos de cómputo:</w:t>
      </w:r>
    </w:p>
    <w:p w14:paraId="2B7DC9D8" w14:textId="77777777" w:rsidR="00BE6367" w:rsidRDefault="00BE6367">
      <w:pPr>
        <w:jc w:val="both"/>
        <w:rPr>
          <w:rFonts w:ascii="Arial" w:eastAsia="Arial" w:hAnsi="Arial" w:cs="Arial"/>
          <w:sz w:val="20"/>
          <w:szCs w:val="20"/>
        </w:rPr>
      </w:pPr>
    </w:p>
    <w:p w14:paraId="13B51D51" w14:textId="77777777" w:rsidR="00BE6367" w:rsidRDefault="00C90F6A">
      <w:pPr>
        <w:jc w:val="both"/>
        <w:rPr>
          <w:rFonts w:ascii="Arial" w:eastAsia="Arial" w:hAnsi="Arial" w:cs="Arial"/>
          <w:sz w:val="20"/>
          <w:szCs w:val="20"/>
        </w:rPr>
      </w:pPr>
      <w:r>
        <w:rPr>
          <w:rFonts w:ascii="Arial" w:eastAsia="Arial" w:hAnsi="Arial" w:cs="Arial"/>
          <w:sz w:val="20"/>
          <w:szCs w:val="20"/>
        </w:rPr>
        <w:t>En general, los requerimientos técnicos definidos para los equipos de cómputo están dados para que un solo fabricante (en este caso Dell) los cumpla al 100%, dejado por fuera la posibilidad de participación para los demás fabricantes.</w:t>
      </w:r>
    </w:p>
    <w:p w14:paraId="26326898" w14:textId="77777777" w:rsidR="00BE6367" w:rsidRDefault="00BE6367">
      <w:pPr>
        <w:jc w:val="both"/>
        <w:rPr>
          <w:rFonts w:ascii="Arial" w:eastAsia="Arial" w:hAnsi="Arial" w:cs="Arial"/>
          <w:sz w:val="20"/>
          <w:szCs w:val="20"/>
        </w:rPr>
      </w:pPr>
    </w:p>
    <w:p w14:paraId="76E36396" w14:textId="77777777" w:rsidR="00BE6367" w:rsidRDefault="00C90F6A">
      <w:pPr>
        <w:jc w:val="both"/>
        <w:rPr>
          <w:rFonts w:ascii="Arial" w:eastAsia="Arial" w:hAnsi="Arial" w:cs="Arial"/>
          <w:sz w:val="20"/>
          <w:szCs w:val="20"/>
        </w:rPr>
      </w:pPr>
      <w:r>
        <w:rPr>
          <w:rFonts w:ascii="Arial" w:eastAsia="Arial" w:hAnsi="Arial" w:cs="Arial"/>
          <w:sz w:val="20"/>
          <w:szCs w:val="20"/>
        </w:rPr>
        <w:t>A continuación, se presenta el detalle:</w:t>
      </w:r>
    </w:p>
    <w:p w14:paraId="0C705F91" w14:textId="77777777" w:rsidR="00BE6367" w:rsidRDefault="00BE6367">
      <w:pPr>
        <w:jc w:val="both"/>
        <w:rPr>
          <w:rFonts w:ascii="Arial" w:eastAsia="Arial" w:hAnsi="Arial" w:cs="Arial"/>
          <w:sz w:val="20"/>
          <w:szCs w:val="20"/>
        </w:rPr>
      </w:pPr>
    </w:p>
    <w:p w14:paraId="4E0EEAB5" w14:textId="77777777" w:rsidR="00BE6367" w:rsidRDefault="00C90F6A">
      <w:pPr>
        <w:jc w:val="both"/>
        <w:rPr>
          <w:rFonts w:ascii="Arial" w:eastAsia="Arial" w:hAnsi="Arial" w:cs="Arial"/>
          <w:b/>
          <w:bCs/>
          <w:sz w:val="20"/>
          <w:szCs w:val="20"/>
        </w:rPr>
      </w:pPr>
      <w:bookmarkStart w:id="19" w:name="bookmark=id.deihoi3z92" w:colFirst="0" w:colLast="0"/>
      <w:bookmarkEnd w:id="19"/>
      <w:r>
        <w:rPr>
          <w:rFonts w:ascii="Arial" w:eastAsia="Arial" w:hAnsi="Arial" w:cs="Arial"/>
          <w:b/>
          <w:bCs/>
          <w:sz w:val="20"/>
          <w:szCs w:val="20"/>
        </w:rPr>
        <w:t>Pivot</w:t>
      </w:r>
    </w:p>
    <w:p w14:paraId="2D4F01F7" w14:textId="77777777" w:rsidR="00BE6367" w:rsidRDefault="00C90F6A">
      <w:pPr>
        <w:jc w:val="both"/>
        <w:rPr>
          <w:rFonts w:ascii="Arial" w:eastAsia="Arial" w:hAnsi="Arial" w:cs="Arial"/>
          <w:sz w:val="20"/>
          <w:szCs w:val="20"/>
        </w:rPr>
      </w:pPr>
      <w:r>
        <w:rPr>
          <w:rFonts w:ascii="Arial" w:eastAsia="Arial" w:hAnsi="Arial" w:cs="Arial"/>
          <w:sz w:val="20"/>
          <w:szCs w:val="20"/>
        </w:rPr>
        <w:t>Se solicita a la entidad eliminar la especificación de PIVOT como característica de los equipos AIO, dado que no es común su uso y solamente está limitando la participación otros fabricantes diferentes a HJP en este proceso, adicional se suman las siguientes razones por la cuales el movimiento pivot podría causar inconvenientes en los equipos: </w:t>
      </w:r>
    </w:p>
    <w:p w14:paraId="4B0B1CE6" w14:textId="77777777" w:rsidR="00BE6367" w:rsidRDefault="00C90F6A">
      <w:pPr>
        <w:jc w:val="both"/>
        <w:rPr>
          <w:rFonts w:ascii="Arial" w:eastAsia="Arial" w:hAnsi="Arial" w:cs="Arial"/>
          <w:sz w:val="20"/>
          <w:szCs w:val="20"/>
        </w:rPr>
      </w:pPr>
      <w:r>
        <w:rPr>
          <w:rFonts w:ascii="Arial" w:eastAsia="Arial" w:hAnsi="Arial" w:cs="Arial"/>
          <w:sz w:val="20"/>
          <w:szCs w:val="20"/>
        </w:rPr>
        <w:t>  </w:t>
      </w:r>
    </w:p>
    <w:bookmarkStart w:id="20" w:name="bookmark=id.vj8mzyalghin" w:colFirst="0" w:colLast="0"/>
    <w:bookmarkEnd w:id="20"/>
    <w:p w14:paraId="046077EE" w14:textId="77777777" w:rsidR="00BE6367" w:rsidRDefault="00C90F6A">
      <w:pPr>
        <w:numPr>
          <w:ilvl w:val="0"/>
          <w:numId w:val="63"/>
        </w:numPr>
        <w:spacing w:after="0" w:line="240" w:lineRule="auto"/>
        <w:jc w:val="both"/>
        <w:rPr>
          <w:rFonts w:ascii="Arial" w:eastAsia="Arial" w:hAnsi="Arial" w:cs="Arial"/>
          <w:sz w:val="20"/>
          <w:szCs w:val="20"/>
        </w:rPr>
      </w:pPr>
      <w:r>
        <w:fldChar w:fldCharType="begin"/>
      </w:r>
      <w:r>
        <w:instrText>HYPERLINK "https://urldefense.com/v3/__https:/www.lg.com/co/monitores/gaming/32gn55r-b/__;!!KDf9ebxpXGLC!B7PqThmltToVtiXJSwDakwnruitypvqxyl6EE6kCitVeJooXY81cOphQ33cJvpVmn_iH8kogJmShop4U9D3xIB9V$" \h</w:instrText>
      </w:r>
      <w:r>
        <w:fldChar w:fldCharType="separate"/>
      </w:r>
      <w:r>
        <w:rPr>
          <w:rFonts w:ascii="Arial" w:eastAsia="Arial" w:hAnsi="Arial" w:cs="Arial"/>
          <w:sz w:val="20"/>
          <w:szCs w:val="20"/>
        </w:rPr>
        <w:t>Estabilidad: Los equipos pueden volverse menos estables cuando están en posición vertical, especialmente si la base no es lo suficientemente robusta</w:t>
      </w:r>
      <w:r>
        <w:fldChar w:fldCharType="end"/>
      </w:r>
      <w:r>
        <w:rPr>
          <w:rFonts w:ascii="Arial" w:eastAsia="Arial" w:hAnsi="Arial" w:cs="Arial"/>
          <w:sz w:val="20"/>
          <w:szCs w:val="20"/>
        </w:rPr>
        <w:t>, dado que el peso y la altura puede hacer que el equipo se incline hacia adelante provocando caídas. </w:t>
      </w:r>
    </w:p>
    <w:p w14:paraId="03E586CF" w14:textId="77777777" w:rsidR="00BE6367" w:rsidRDefault="00BE6367">
      <w:pPr>
        <w:numPr>
          <w:ilvl w:val="0"/>
          <w:numId w:val="63"/>
        </w:numPr>
        <w:spacing w:after="0" w:line="240" w:lineRule="auto"/>
        <w:jc w:val="both"/>
        <w:rPr>
          <w:rFonts w:ascii="Arial" w:eastAsia="Arial" w:hAnsi="Arial" w:cs="Arial"/>
          <w:sz w:val="20"/>
          <w:szCs w:val="20"/>
        </w:rPr>
      </w:pPr>
      <w:hyperlink r:id="rId27">
        <w:r>
          <w:rPr>
            <w:rFonts w:ascii="Arial" w:eastAsia="Arial" w:hAnsi="Arial" w:cs="Arial"/>
            <w:sz w:val="20"/>
            <w:szCs w:val="20"/>
          </w:rPr>
          <w:t>Ángulos de visión: Dependiendo del tipo de panel de la pantalla (por ejemplo, TN, VA, IPS), los ángulos de visión pueden no ser óptimos en la orientación vertical, lo que puede afectar la calidad de la imagen</w:t>
        </w:r>
      </w:hyperlink>
      <w:r w:rsidR="00C90F6A">
        <w:rPr>
          <w:rFonts w:ascii="Arial" w:eastAsia="Arial" w:hAnsi="Arial" w:cs="Arial"/>
          <w:sz w:val="20"/>
          <w:szCs w:val="20"/>
        </w:rPr>
        <w:t>. </w:t>
      </w:r>
    </w:p>
    <w:p w14:paraId="17716029" w14:textId="77777777" w:rsidR="00BE6367" w:rsidRDefault="00BE6367">
      <w:pPr>
        <w:numPr>
          <w:ilvl w:val="0"/>
          <w:numId w:val="63"/>
        </w:numPr>
        <w:spacing w:after="0" w:line="240" w:lineRule="auto"/>
        <w:jc w:val="both"/>
        <w:rPr>
          <w:rFonts w:ascii="Arial" w:eastAsia="Arial" w:hAnsi="Arial" w:cs="Arial"/>
          <w:sz w:val="20"/>
          <w:szCs w:val="20"/>
        </w:rPr>
      </w:pPr>
      <w:hyperlink r:id="rId28">
        <w:r>
          <w:rPr>
            <w:rFonts w:ascii="Arial" w:eastAsia="Arial" w:hAnsi="Arial" w:cs="Arial"/>
            <w:sz w:val="20"/>
            <w:szCs w:val="20"/>
          </w:rPr>
          <w:t>Uso de espacio: En algunos escritorios, la orientación vertical puede no ser práctica debido a limitaciones de espacio o la disposición del entorno de trabajo</w:t>
        </w:r>
      </w:hyperlink>
      <w:r w:rsidR="00C90F6A">
        <w:rPr>
          <w:rFonts w:ascii="Arial" w:eastAsia="Arial" w:hAnsi="Arial" w:cs="Arial"/>
          <w:sz w:val="20"/>
          <w:szCs w:val="20"/>
        </w:rPr>
        <w:t>, tener en cuenta que este movimiento se puede ver limitado por los propios cables del equipo, es decir conexiones a teclado, mouse, algún periférico, cable de poder, por lo que el riesgo de daño a estos accesorios puede ser mayor. </w:t>
      </w:r>
    </w:p>
    <w:p w14:paraId="7382B7C5" w14:textId="77777777" w:rsidR="00BE6367" w:rsidRDefault="00BE6367">
      <w:pPr>
        <w:numPr>
          <w:ilvl w:val="0"/>
          <w:numId w:val="63"/>
        </w:numPr>
        <w:spacing w:after="0" w:line="240" w:lineRule="auto"/>
        <w:jc w:val="both"/>
        <w:rPr>
          <w:rFonts w:ascii="Arial" w:eastAsia="Arial" w:hAnsi="Arial" w:cs="Arial"/>
          <w:sz w:val="20"/>
          <w:szCs w:val="20"/>
        </w:rPr>
      </w:pPr>
      <w:hyperlink r:id="rId29">
        <w:r>
          <w:rPr>
            <w:rFonts w:ascii="Arial" w:eastAsia="Arial" w:hAnsi="Arial" w:cs="Arial"/>
            <w:sz w:val="20"/>
            <w:szCs w:val="20"/>
          </w:rPr>
          <w:t>Configuración: Puede ser necesario ajustar la configuración del sistema operativo y los controladores de la tarjeta gráfica para que la pantalla se vea correctamente en la orientación vertical</w:t>
        </w:r>
      </w:hyperlink>
      <w:r w:rsidR="00C90F6A">
        <w:rPr>
          <w:rFonts w:ascii="Arial" w:eastAsia="Arial" w:hAnsi="Arial" w:cs="Arial"/>
          <w:sz w:val="20"/>
          <w:szCs w:val="20"/>
        </w:rPr>
        <w:t>, lo cual si no lo realiza una persona con conocimientos técnicos puede generar malestar entre los usuarios, ya que al no contar con un sistema como giroscopio(usado en los celulares para girar automáticamente la imagen según la posición de la pantalla) deberá hacerse de forma manual. </w:t>
      </w:r>
    </w:p>
    <w:p w14:paraId="78D0E737" w14:textId="77777777" w:rsidR="00BE6367" w:rsidRDefault="00BE6367">
      <w:pPr>
        <w:spacing w:after="0" w:line="240" w:lineRule="auto"/>
        <w:ind w:left="720"/>
        <w:jc w:val="both"/>
        <w:rPr>
          <w:rFonts w:ascii="Arial" w:eastAsia="Arial" w:hAnsi="Arial" w:cs="Arial"/>
          <w:sz w:val="20"/>
          <w:szCs w:val="20"/>
        </w:rPr>
      </w:pPr>
    </w:p>
    <w:p w14:paraId="0143237E" w14:textId="77777777" w:rsidR="00BE6367" w:rsidRDefault="00C90F6A">
      <w:pPr>
        <w:spacing w:after="0"/>
        <w:ind w:left="360"/>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07B54BA7" w14:textId="77777777" w:rsidR="00BE6367" w:rsidRDefault="00BE6367">
      <w:pPr>
        <w:spacing w:after="0"/>
        <w:ind w:left="360"/>
        <w:jc w:val="both"/>
        <w:rPr>
          <w:rFonts w:ascii="Arial" w:eastAsia="Arial" w:hAnsi="Arial" w:cs="Arial"/>
          <w:b/>
          <w:bCs/>
          <w:sz w:val="20"/>
          <w:szCs w:val="20"/>
        </w:rPr>
      </w:pPr>
    </w:p>
    <w:p w14:paraId="512405F5" w14:textId="77777777" w:rsidR="00BE6367" w:rsidRDefault="00C90F6A">
      <w:pPr>
        <w:spacing w:after="0"/>
        <w:ind w:left="360"/>
        <w:jc w:val="both"/>
        <w:rPr>
          <w:rFonts w:ascii="Arial" w:eastAsia="Arial" w:hAnsi="Arial" w:cs="Arial"/>
          <w:sz w:val="20"/>
          <w:szCs w:val="20"/>
        </w:rPr>
      </w:pPr>
      <w:r>
        <w:rPr>
          <w:rFonts w:ascii="Arial" w:eastAsia="Arial" w:hAnsi="Arial" w:cs="Arial"/>
          <w:sz w:val="20"/>
          <w:szCs w:val="20"/>
        </w:rPr>
        <w:t>No se acoge la observación. El requisito de rotación Pivot hace parte de las características técnicas mínimas solicitadas para los equipos All in One, en atención a las necesidades de flexibilidad, ergonomía y adaptabilidad en los entornos de trabajo de la Entidad.</w:t>
      </w:r>
    </w:p>
    <w:p w14:paraId="6E05677F" w14:textId="77777777" w:rsidR="00BE6367" w:rsidRDefault="00BE6367">
      <w:pPr>
        <w:spacing w:after="0"/>
        <w:ind w:left="360"/>
        <w:jc w:val="both"/>
        <w:rPr>
          <w:rFonts w:ascii="Arial" w:eastAsia="Arial" w:hAnsi="Arial" w:cs="Arial"/>
          <w:sz w:val="20"/>
          <w:szCs w:val="20"/>
        </w:rPr>
      </w:pPr>
    </w:p>
    <w:p w14:paraId="6060736A" w14:textId="77777777" w:rsidR="00BE6367" w:rsidRDefault="00C90F6A">
      <w:pPr>
        <w:spacing w:after="0"/>
        <w:ind w:left="360"/>
        <w:jc w:val="both"/>
        <w:rPr>
          <w:rFonts w:ascii="Arial" w:eastAsia="Arial" w:hAnsi="Arial" w:cs="Arial"/>
          <w:sz w:val="20"/>
          <w:szCs w:val="20"/>
        </w:rPr>
      </w:pPr>
      <w:r>
        <w:rPr>
          <w:rFonts w:ascii="Arial" w:eastAsia="Arial" w:hAnsi="Arial" w:cs="Arial"/>
          <w:sz w:val="20"/>
          <w:szCs w:val="20"/>
        </w:rPr>
        <w:t>Se precisa que este parámetro no limita la participación, toda vez que en el mercado existe pluralidad de fabricantes y referencias que cumplen con esta condición, garantizando así la libre concurrencia y la selección objetiva dentro del proceso.</w:t>
      </w:r>
    </w:p>
    <w:p w14:paraId="6F388225" w14:textId="77777777" w:rsidR="00BE6367" w:rsidRDefault="00BE6367">
      <w:pPr>
        <w:spacing w:after="0"/>
        <w:ind w:left="360"/>
        <w:jc w:val="both"/>
        <w:rPr>
          <w:rFonts w:ascii="Arial" w:eastAsia="Arial" w:hAnsi="Arial" w:cs="Arial"/>
          <w:sz w:val="20"/>
          <w:szCs w:val="20"/>
        </w:rPr>
      </w:pPr>
    </w:p>
    <w:p w14:paraId="65E5C112" w14:textId="77777777" w:rsidR="00BE6367" w:rsidRDefault="00C90F6A">
      <w:pPr>
        <w:spacing w:after="0"/>
        <w:ind w:left="360"/>
        <w:jc w:val="both"/>
        <w:rPr>
          <w:rFonts w:ascii="Arial" w:eastAsia="Arial" w:hAnsi="Arial" w:cs="Arial"/>
          <w:sz w:val="20"/>
          <w:szCs w:val="20"/>
        </w:rPr>
      </w:pPr>
      <w:r>
        <w:rPr>
          <w:rFonts w:ascii="Arial" w:eastAsia="Arial" w:hAnsi="Arial" w:cs="Arial"/>
          <w:sz w:val="20"/>
          <w:szCs w:val="20"/>
        </w:rPr>
        <w:t>De esta manera se mantiene la coherencia técnica del pliego y se asegura que los equipos ofertados respondan plenamente a las condiciones de uso y desempeño requeridas.</w:t>
      </w:r>
    </w:p>
    <w:p w14:paraId="3A2CC4A7" w14:textId="77777777" w:rsidR="00BE6367" w:rsidRDefault="00BE6367">
      <w:pPr>
        <w:jc w:val="both"/>
        <w:rPr>
          <w:rFonts w:ascii="Arial" w:eastAsia="Arial" w:hAnsi="Arial" w:cs="Arial"/>
          <w:b/>
          <w:bCs/>
          <w:sz w:val="20"/>
          <w:szCs w:val="20"/>
        </w:rPr>
      </w:pPr>
    </w:p>
    <w:p w14:paraId="628110D5"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Disco Duro.</w:t>
      </w:r>
    </w:p>
    <w:p w14:paraId="0C6FB73D" w14:textId="77777777" w:rsidR="00BE6367" w:rsidRDefault="00C90F6A">
      <w:pPr>
        <w:numPr>
          <w:ilvl w:val="0"/>
          <w:numId w:val="63"/>
        </w:numPr>
        <w:spacing w:after="0" w:line="240" w:lineRule="auto"/>
        <w:jc w:val="both"/>
        <w:rPr>
          <w:rFonts w:ascii="Arial" w:eastAsia="Arial" w:hAnsi="Arial" w:cs="Arial"/>
          <w:sz w:val="20"/>
          <w:szCs w:val="20"/>
        </w:rPr>
      </w:pPr>
      <w:r>
        <w:rPr>
          <w:rFonts w:ascii="Arial" w:eastAsia="Arial" w:hAnsi="Arial" w:cs="Arial"/>
          <w:sz w:val="20"/>
          <w:szCs w:val="20"/>
        </w:rPr>
        <w:t>Solicitamos cordialmente a la entidad permitir la inclusión de unidades de estado sólido basadas en tecnología QLC (Quad-Level Cell) para el presente requerimiento, toda vez que estas representan una alternativa tecnológica plenamente vigente y ampliamente adoptada por la industria para entornos corporativos. Los SSD QLC han evolucionado significativamente en términos de rendimiento, confiabilidad y vida útil, incorporando mecanismos avanzados de administración de desgaste (wear leveling), corrección de errores (ECC), sobre aprovisionamiento (over-provisioning) y memoria caché inteligente, que garantizan una operación estable y segura para las cargas de trabajo típicas de oficina, productividad, colaboración, navegación, gestión documental y ejecución de aplicaciones empresariales.</w:t>
      </w:r>
    </w:p>
    <w:p w14:paraId="34D55C4D" w14:textId="77777777" w:rsidR="00BE6367" w:rsidRDefault="00C90F6A">
      <w:pPr>
        <w:numPr>
          <w:ilvl w:val="0"/>
          <w:numId w:val="63"/>
        </w:numPr>
        <w:spacing w:after="0" w:line="240" w:lineRule="auto"/>
        <w:jc w:val="both"/>
        <w:rPr>
          <w:rFonts w:ascii="Arial" w:eastAsia="Arial" w:hAnsi="Arial" w:cs="Arial"/>
          <w:sz w:val="20"/>
          <w:szCs w:val="20"/>
        </w:rPr>
      </w:pPr>
      <w:r>
        <w:rPr>
          <w:rFonts w:ascii="Arial" w:eastAsia="Arial" w:hAnsi="Arial" w:cs="Arial"/>
          <w:sz w:val="20"/>
          <w:szCs w:val="20"/>
        </w:rPr>
        <w:t>Adicionalmente, la tecnología QLC permite ofrecer mayores capacidades de almacenamiento a un costo más eficiente, optimizando la relación costo-beneficio de la solución sin afectar la experiencia de uso del usuario final. En escenarios corporativos convencionales, donde predominan las operaciones de lectura y escritura moderadas, las diferencias prácticas frente a unidades TLC resultan poco significativas, manteniéndose niveles de desempeño acordes con los requerimientos actuales del mercado.</w:t>
      </w:r>
    </w:p>
    <w:p w14:paraId="7842D833" w14:textId="77777777" w:rsidR="00BE6367" w:rsidRDefault="00C90F6A">
      <w:pPr>
        <w:numPr>
          <w:ilvl w:val="0"/>
          <w:numId w:val="63"/>
        </w:numPr>
        <w:spacing w:after="0" w:line="240" w:lineRule="auto"/>
        <w:jc w:val="both"/>
        <w:rPr>
          <w:rFonts w:ascii="Arial" w:eastAsia="Arial" w:hAnsi="Arial" w:cs="Arial"/>
          <w:sz w:val="20"/>
          <w:szCs w:val="20"/>
        </w:rPr>
      </w:pPr>
      <w:r>
        <w:rPr>
          <w:rFonts w:ascii="Arial" w:eastAsia="Arial" w:hAnsi="Arial" w:cs="Arial"/>
          <w:sz w:val="20"/>
          <w:szCs w:val="20"/>
        </w:rPr>
        <w:t>Por lo anterior, restringir la participación únicamente a unidades basadas en memoria TLC podría limitar innecesariamente la pluralidad de oferentes y la disponibilidad de soluciones tecnológicas competitivas, sin que ello represente una mejora sustancial en la funcionalidad, seguridad o desempeño esperado para la finalidad del proyecto. En consecuencia, se solicita aceptar unidades SSD con tecnología QLC o superior, siempre que cumplan con los demás requisitos de capacidad, rendimiento y garantía establecidos por la entidad.</w:t>
      </w:r>
    </w:p>
    <w:p w14:paraId="376D21C0" w14:textId="77777777" w:rsidR="00BE6367" w:rsidRDefault="00BE6367">
      <w:pPr>
        <w:spacing w:after="0"/>
        <w:ind w:left="360"/>
        <w:jc w:val="both"/>
        <w:rPr>
          <w:rFonts w:ascii="Arial" w:eastAsia="Arial" w:hAnsi="Arial" w:cs="Arial"/>
          <w:b/>
          <w:bCs/>
          <w:sz w:val="20"/>
          <w:szCs w:val="20"/>
        </w:rPr>
      </w:pPr>
    </w:p>
    <w:p w14:paraId="70B49B16" w14:textId="77777777" w:rsidR="00BE6367" w:rsidRDefault="00C90F6A">
      <w:pPr>
        <w:spacing w:after="0"/>
        <w:ind w:left="360"/>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5BAEA11D" w14:textId="77777777" w:rsidR="00BE6367" w:rsidRDefault="00BE6367">
      <w:pPr>
        <w:spacing w:after="0"/>
        <w:ind w:left="360"/>
        <w:jc w:val="both"/>
        <w:rPr>
          <w:rFonts w:ascii="Arial" w:eastAsia="Arial" w:hAnsi="Arial" w:cs="Arial"/>
          <w:sz w:val="20"/>
          <w:szCs w:val="20"/>
        </w:rPr>
      </w:pPr>
    </w:p>
    <w:p w14:paraId="5567B4C5" w14:textId="77777777" w:rsidR="00BE6367" w:rsidRDefault="00C90F6A">
      <w:pPr>
        <w:spacing w:after="0"/>
        <w:ind w:left="360"/>
        <w:jc w:val="both"/>
        <w:rPr>
          <w:rFonts w:ascii="Arial" w:eastAsia="Arial" w:hAnsi="Arial" w:cs="Arial"/>
          <w:sz w:val="20"/>
          <w:szCs w:val="20"/>
        </w:rPr>
      </w:pPr>
      <w:r>
        <w:rPr>
          <w:rFonts w:ascii="Arial" w:eastAsia="Arial" w:hAnsi="Arial" w:cs="Arial"/>
          <w:sz w:val="20"/>
          <w:szCs w:val="20"/>
        </w:rPr>
        <w:t>Se acoge parcialmente la observación. Se precisa que se permitirá el uso de memorias con tecnología TLC o QLC, siempre que cuenten con parte número o SKU original del fabricante del equipo. Se aclara que el disco debe ser original e instalado desde la fabricación del equipo, garantizando así la trazabilidad y autenticidad del componente.</w:t>
      </w:r>
    </w:p>
    <w:p w14:paraId="068EBE3D" w14:textId="77777777" w:rsidR="00BE6367" w:rsidRDefault="00BE6367">
      <w:pPr>
        <w:spacing w:after="0"/>
        <w:ind w:left="360"/>
        <w:jc w:val="both"/>
        <w:rPr>
          <w:rFonts w:ascii="Arial" w:eastAsia="Arial" w:hAnsi="Arial" w:cs="Arial"/>
          <w:sz w:val="20"/>
          <w:szCs w:val="20"/>
        </w:rPr>
      </w:pPr>
    </w:p>
    <w:p w14:paraId="2D24E761" w14:textId="77777777" w:rsidR="00BE6367" w:rsidRDefault="00C90F6A">
      <w:pPr>
        <w:spacing w:after="0"/>
        <w:ind w:left="360"/>
        <w:jc w:val="both"/>
        <w:rPr>
          <w:rFonts w:ascii="Arial" w:eastAsia="Arial" w:hAnsi="Arial" w:cs="Arial"/>
          <w:sz w:val="20"/>
          <w:szCs w:val="20"/>
        </w:rPr>
      </w:pPr>
      <w:r>
        <w:rPr>
          <w:rFonts w:ascii="Arial" w:eastAsia="Arial" w:hAnsi="Arial" w:cs="Arial"/>
          <w:sz w:val="20"/>
          <w:szCs w:val="20"/>
        </w:rPr>
        <w:t>Adicionalmente, las especificaciones deberán cumplir con los requisitos técnicos mínimos establecidos en la ficha, asegurando el desempeño y la confiabilidad requeridos por la Entidad.</w:t>
      </w:r>
    </w:p>
    <w:p w14:paraId="7BCD3712" w14:textId="77777777" w:rsidR="00BE6367" w:rsidRDefault="00BE6367">
      <w:pPr>
        <w:shd w:val="clear" w:color="auto" w:fill="FFFFFF"/>
        <w:jc w:val="both"/>
        <w:rPr>
          <w:rFonts w:ascii="Arial" w:eastAsia="Arial" w:hAnsi="Arial" w:cs="Arial"/>
          <w:sz w:val="20"/>
          <w:szCs w:val="20"/>
        </w:rPr>
      </w:pPr>
    </w:p>
    <w:p w14:paraId="0AC6AEA5"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Tasa Refresco Pantalla//</w:t>
      </w:r>
    </w:p>
    <w:p w14:paraId="0326A239" w14:textId="77777777" w:rsidR="00BE6367" w:rsidRDefault="00C90F6A">
      <w:pPr>
        <w:numPr>
          <w:ilvl w:val="0"/>
          <w:numId w:val="63"/>
        </w:numPr>
        <w:spacing w:after="0" w:line="240" w:lineRule="auto"/>
        <w:jc w:val="both"/>
        <w:rPr>
          <w:rFonts w:ascii="Arial" w:eastAsia="Arial" w:hAnsi="Arial" w:cs="Arial"/>
          <w:sz w:val="20"/>
          <w:szCs w:val="20"/>
        </w:rPr>
      </w:pPr>
      <w:r>
        <w:rPr>
          <w:rFonts w:ascii="Arial" w:eastAsia="Arial" w:hAnsi="Arial" w:cs="Arial"/>
          <w:sz w:val="20"/>
          <w:szCs w:val="20"/>
        </w:rPr>
        <w:t>Solicitamos respetuosamente a la entidad permitir la presentación de plataformas con una tasa de refresco mínima de 75 Hz, en consideración a que dicho valor se encuentra alineado con los estándares técnicos del mercado para equipos All-in-One (AIO) de uso corporativo, garantizando condiciones adecuadas de visualización sin afectar el desempeño funcional requerido.</w:t>
      </w:r>
    </w:p>
    <w:p w14:paraId="7C2A139C" w14:textId="77777777" w:rsidR="00BE6367" w:rsidRDefault="00C90F6A">
      <w:pPr>
        <w:numPr>
          <w:ilvl w:val="0"/>
          <w:numId w:val="63"/>
        </w:numPr>
        <w:spacing w:after="0" w:line="240" w:lineRule="auto"/>
        <w:jc w:val="both"/>
        <w:rPr>
          <w:rFonts w:ascii="Arial" w:eastAsia="Arial" w:hAnsi="Arial" w:cs="Arial"/>
          <w:sz w:val="20"/>
          <w:szCs w:val="20"/>
        </w:rPr>
      </w:pPr>
      <w:r>
        <w:rPr>
          <w:rFonts w:ascii="Arial" w:eastAsia="Arial" w:hAnsi="Arial" w:cs="Arial"/>
          <w:sz w:val="20"/>
          <w:szCs w:val="20"/>
        </w:rPr>
        <w:t>Mantener el requisito en los términos actualmente definidos podría generar una restricción injustificada a la libre concurrencia, al favorecer de manera indirecta a un fabricante específico cuyas plataformas cumplen de forma exclusiva con dicha especificación, lo cual se aparta de los principios de pluralidad de oferentes e igualdad de condiciones consagrados en la normativa de contratación pública.</w:t>
      </w:r>
    </w:p>
    <w:p w14:paraId="753F3CA2" w14:textId="77777777" w:rsidR="00BE6367" w:rsidRDefault="00C90F6A">
      <w:pPr>
        <w:numPr>
          <w:ilvl w:val="0"/>
          <w:numId w:val="63"/>
        </w:numPr>
        <w:spacing w:after="0" w:line="240" w:lineRule="auto"/>
        <w:jc w:val="both"/>
        <w:rPr>
          <w:rFonts w:ascii="Arial" w:eastAsia="Arial" w:hAnsi="Arial" w:cs="Arial"/>
          <w:sz w:val="20"/>
          <w:szCs w:val="20"/>
        </w:rPr>
      </w:pPr>
      <w:r>
        <w:rPr>
          <w:rFonts w:ascii="Arial" w:eastAsia="Arial" w:hAnsi="Arial" w:cs="Arial"/>
          <w:sz w:val="20"/>
          <w:szCs w:val="20"/>
        </w:rPr>
        <w:t>En este sentido, la limitación descrita podría vulnerar el principio de selección objetiva, al reducir el universo de proponentes sin una justificación técnica proporcional o necesaria, afectando la posibilidad de que participen múltiples fabricantes, entre ellos HP Colombia, y restringiendo la competencia efectiva en el proceso.</w:t>
      </w:r>
    </w:p>
    <w:p w14:paraId="16061874" w14:textId="77777777" w:rsidR="00BE6367" w:rsidRDefault="00C90F6A">
      <w:pPr>
        <w:numPr>
          <w:ilvl w:val="0"/>
          <w:numId w:val="63"/>
        </w:numPr>
        <w:spacing w:after="0" w:line="240" w:lineRule="auto"/>
        <w:jc w:val="both"/>
        <w:rPr>
          <w:rFonts w:ascii="Arial" w:eastAsia="Arial" w:hAnsi="Arial" w:cs="Arial"/>
          <w:sz w:val="20"/>
          <w:szCs w:val="20"/>
        </w:rPr>
      </w:pPr>
      <w:r>
        <w:rPr>
          <w:rFonts w:ascii="Arial" w:eastAsia="Arial" w:hAnsi="Arial" w:cs="Arial"/>
          <w:sz w:val="20"/>
          <w:szCs w:val="20"/>
        </w:rPr>
        <w:lastRenderedPageBreak/>
        <w:t>Por lo anterior, se solicita ajustar este requerimiento a valores acordes con el mercado, como el mínimo de 75 Hz, permitiendo así una mayor participación de oferentes y garantizando el cumplimiento de los principios de transparencia, economía y pluralidad.</w:t>
      </w:r>
    </w:p>
    <w:p w14:paraId="02E4C886" w14:textId="77777777" w:rsidR="00BE6367" w:rsidRDefault="00BE6367">
      <w:pPr>
        <w:spacing w:after="0"/>
        <w:ind w:left="360"/>
        <w:jc w:val="both"/>
        <w:rPr>
          <w:rFonts w:ascii="Arial" w:eastAsia="Arial" w:hAnsi="Arial" w:cs="Arial"/>
          <w:b/>
          <w:bCs/>
          <w:sz w:val="20"/>
          <w:szCs w:val="20"/>
        </w:rPr>
      </w:pPr>
    </w:p>
    <w:p w14:paraId="1DED80DE" w14:textId="77777777" w:rsidR="00BE6367" w:rsidRDefault="00C90F6A">
      <w:pPr>
        <w:spacing w:after="0"/>
        <w:ind w:left="360"/>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3B75835E" w14:textId="77777777" w:rsidR="00BE6367" w:rsidRDefault="00BE6367">
      <w:pPr>
        <w:spacing w:after="0"/>
        <w:ind w:left="360"/>
        <w:jc w:val="both"/>
        <w:rPr>
          <w:rFonts w:ascii="Arial" w:eastAsia="Arial" w:hAnsi="Arial" w:cs="Arial"/>
          <w:b/>
          <w:bCs/>
          <w:sz w:val="20"/>
          <w:szCs w:val="20"/>
        </w:rPr>
      </w:pPr>
    </w:p>
    <w:p w14:paraId="263D78E7" w14:textId="77777777" w:rsidR="00BE6367" w:rsidRDefault="00C90F6A">
      <w:pPr>
        <w:spacing w:after="0"/>
        <w:ind w:left="360"/>
        <w:jc w:val="both"/>
        <w:rPr>
          <w:rFonts w:ascii="Arial" w:eastAsia="Arial" w:hAnsi="Arial" w:cs="Arial"/>
          <w:sz w:val="20"/>
          <w:szCs w:val="20"/>
        </w:rPr>
      </w:pPr>
      <w:r>
        <w:rPr>
          <w:rFonts w:ascii="Arial" w:eastAsia="Arial" w:hAnsi="Arial" w:cs="Arial"/>
          <w:sz w:val="20"/>
          <w:szCs w:val="20"/>
        </w:rPr>
        <w:t>No se acoge la observación. Se precisa que la exigencia de contar con una pantalla de al menos 100 Hz corresponde a un requisito mínimo solicitado en la ficha técnica, orientado a garantizar una experiencia visual más fluida, cómoda y con menor fatiga durante la jornada laboral.</w:t>
      </w:r>
    </w:p>
    <w:p w14:paraId="1F5401E6" w14:textId="77777777" w:rsidR="00BE6367" w:rsidRDefault="00BE6367">
      <w:pPr>
        <w:spacing w:after="0"/>
        <w:ind w:left="360"/>
        <w:jc w:val="both"/>
        <w:rPr>
          <w:rFonts w:ascii="Arial" w:eastAsia="Arial" w:hAnsi="Arial" w:cs="Arial"/>
          <w:sz w:val="20"/>
          <w:szCs w:val="20"/>
        </w:rPr>
      </w:pPr>
    </w:p>
    <w:p w14:paraId="74D98F12" w14:textId="77777777" w:rsidR="00BE6367" w:rsidRDefault="00C90F6A">
      <w:pPr>
        <w:spacing w:after="0"/>
        <w:ind w:left="360"/>
        <w:jc w:val="both"/>
        <w:rPr>
          <w:rFonts w:ascii="Arial" w:eastAsia="Arial" w:hAnsi="Arial" w:cs="Arial"/>
          <w:sz w:val="20"/>
          <w:szCs w:val="20"/>
        </w:rPr>
      </w:pPr>
      <w:r>
        <w:rPr>
          <w:rFonts w:ascii="Arial" w:eastAsia="Arial" w:hAnsi="Arial" w:cs="Arial"/>
          <w:sz w:val="20"/>
          <w:szCs w:val="20"/>
        </w:rPr>
        <w:t>Adicionalmente, se aclara que en el mercado existe una amplia variedad de fabricantes y modelos que cumplen este requisito mínimo, lo que asegura la pluralidad de opciones, la libre concurrencia y la selección objetiva dentro del proceso.</w:t>
      </w:r>
    </w:p>
    <w:p w14:paraId="5952A06C" w14:textId="77777777" w:rsidR="00BE6367" w:rsidRDefault="00BE6367">
      <w:pPr>
        <w:spacing w:after="0"/>
        <w:ind w:left="360"/>
        <w:jc w:val="both"/>
        <w:rPr>
          <w:rFonts w:ascii="Arial" w:eastAsia="Arial" w:hAnsi="Arial" w:cs="Arial"/>
          <w:sz w:val="20"/>
          <w:szCs w:val="20"/>
        </w:rPr>
      </w:pPr>
    </w:p>
    <w:p w14:paraId="51E124E0" w14:textId="77777777" w:rsidR="00BE6367" w:rsidRDefault="00C90F6A">
      <w:pPr>
        <w:spacing w:after="0"/>
        <w:ind w:left="360"/>
        <w:jc w:val="both"/>
        <w:rPr>
          <w:rFonts w:ascii="Arial" w:eastAsia="Arial" w:hAnsi="Arial" w:cs="Arial"/>
          <w:sz w:val="20"/>
          <w:szCs w:val="20"/>
        </w:rPr>
      </w:pPr>
      <w:r>
        <w:rPr>
          <w:rFonts w:ascii="Arial" w:eastAsia="Arial" w:hAnsi="Arial" w:cs="Arial"/>
          <w:sz w:val="20"/>
          <w:szCs w:val="20"/>
        </w:rPr>
        <w:t>De esta manera se mantiene la coherencia técnica del pliego y se garantiza que los equipos ofertados respondan plenamente a las necesidades de desempeño y confort visual requeridas por la Entidad.</w:t>
      </w:r>
    </w:p>
    <w:p w14:paraId="455096D1"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Memoria</w:t>
      </w:r>
    </w:p>
    <w:p w14:paraId="3FB6A9EA" w14:textId="77777777" w:rsidR="00BE6367" w:rsidRDefault="00C90F6A">
      <w:pPr>
        <w:numPr>
          <w:ilvl w:val="0"/>
          <w:numId w:val="63"/>
        </w:numPr>
        <w:spacing w:after="0" w:line="240" w:lineRule="auto"/>
        <w:jc w:val="both"/>
        <w:rPr>
          <w:rFonts w:ascii="Arial" w:eastAsia="Arial" w:hAnsi="Arial" w:cs="Arial"/>
          <w:sz w:val="20"/>
          <w:szCs w:val="20"/>
        </w:rPr>
      </w:pPr>
      <w:r>
        <w:rPr>
          <w:rFonts w:ascii="Arial" w:eastAsia="Arial" w:hAnsi="Arial" w:cs="Arial"/>
          <w:sz w:val="20"/>
          <w:szCs w:val="20"/>
        </w:rPr>
        <w:t> En pro de la pluralidad de marcas, se solicita a la entidad especificar mínimo memorias DDR5 5600, ello debido a que solamente una marca del mercado colombiano indica usar memorias DDR5 6400, ello limita el proceso solo a esa marca, adicional a lo anterior DDR5 5600 presenta las siguientes ventajas frente a DDR5 6400:</w:t>
      </w:r>
    </w:p>
    <w:p w14:paraId="5DA1559D" w14:textId="77777777" w:rsidR="00BE6367" w:rsidRDefault="00BE6367">
      <w:pPr>
        <w:spacing w:after="0"/>
        <w:ind w:left="720"/>
        <w:jc w:val="both"/>
        <w:rPr>
          <w:rFonts w:ascii="Arial" w:eastAsia="Arial" w:hAnsi="Arial" w:cs="Arial"/>
          <w:sz w:val="20"/>
          <w:szCs w:val="20"/>
        </w:rPr>
      </w:pPr>
    </w:p>
    <w:p w14:paraId="115E5F8D" w14:textId="77777777" w:rsidR="00BE6367" w:rsidRDefault="00C90F6A">
      <w:pPr>
        <w:numPr>
          <w:ilvl w:val="1"/>
          <w:numId w:val="63"/>
        </w:numPr>
        <w:spacing w:after="0" w:line="240" w:lineRule="auto"/>
        <w:jc w:val="both"/>
        <w:rPr>
          <w:rFonts w:ascii="Arial" w:eastAsia="Arial" w:hAnsi="Arial" w:cs="Arial"/>
          <w:sz w:val="20"/>
          <w:szCs w:val="20"/>
        </w:rPr>
      </w:pPr>
      <w:r>
        <w:rPr>
          <w:rFonts w:ascii="Arial" w:eastAsia="Arial" w:hAnsi="Arial" w:cs="Arial"/>
          <w:sz w:val="20"/>
          <w:szCs w:val="20"/>
        </w:rPr>
        <w:t>Menor voltaje: lo que se traduce en menos calor, por ende mayor duración de los componentes.</w:t>
      </w:r>
    </w:p>
    <w:p w14:paraId="6C844CD5" w14:textId="77777777" w:rsidR="00BE6367" w:rsidRDefault="00C90F6A">
      <w:pPr>
        <w:numPr>
          <w:ilvl w:val="0"/>
          <w:numId w:val="63"/>
        </w:numPr>
        <w:spacing w:after="0" w:line="240" w:lineRule="auto"/>
        <w:jc w:val="both"/>
        <w:rPr>
          <w:rFonts w:ascii="Arial" w:eastAsia="Arial" w:hAnsi="Arial" w:cs="Arial"/>
          <w:sz w:val="20"/>
          <w:szCs w:val="20"/>
        </w:rPr>
      </w:pPr>
      <w:r>
        <w:rPr>
          <w:rFonts w:ascii="Arial" w:eastAsia="Arial" w:hAnsi="Arial" w:cs="Arial"/>
          <w:sz w:val="20"/>
          <w:szCs w:val="20"/>
        </w:rPr>
        <w:t>Rendimiento: En productividad diaria (Word, Excel, navegación, videollamadas): la diferencia es prácticamente imperceptible, la eficiencia de DDR5 6400 solo se ve reflejada en trabajos de alta intensidad como videojuegos.</w:t>
      </w:r>
    </w:p>
    <w:p w14:paraId="2A847274" w14:textId="77777777" w:rsidR="00BE6367" w:rsidRDefault="00C90F6A">
      <w:pPr>
        <w:numPr>
          <w:ilvl w:val="0"/>
          <w:numId w:val="63"/>
        </w:numPr>
        <w:spacing w:after="0" w:line="240" w:lineRule="auto"/>
        <w:jc w:val="both"/>
        <w:rPr>
          <w:rFonts w:ascii="Arial" w:eastAsia="Arial" w:hAnsi="Arial" w:cs="Arial"/>
          <w:sz w:val="20"/>
          <w:szCs w:val="20"/>
        </w:rPr>
      </w:pPr>
      <w:r>
        <w:rPr>
          <w:rFonts w:ascii="Arial" w:eastAsia="Arial" w:hAnsi="Arial" w:cs="Arial"/>
          <w:sz w:val="20"/>
          <w:szCs w:val="20"/>
        </w:rPr>
        <w:t>Precio: DDR5 5600 es más económico que DDR5 6400 y en el contexto actual donde cada vez hay menos componentes para fabricar memorias, hace que las memorias sean costosas.</w:t>
      </w:r>
    </w:p>
    <w:p w14:paraId="36279559" w14:textId="77777777" w:rsidR="00BE6367" w:rsidRDefault="00C90F6A">
      <w:pPr>
        <w:numPr>
          <w:ilvl w:val="0"/>
          <w:numId w:val="63"/>
        </w:numPr>
        <w:spacing w:after="0" w:line="240" w:lineRule="auto"/>
        <w:jc w:val="both"/>
        <w:rPr>
          <w:rFonts w:ascii="Arial" w:eastAsia="Arial" w:hAnsi="Arial" w:cs="Arial"/>
          <w:sz w:val="20"/>
          <w:szCs w:val="20"/>
        </w:rPr>
      </w:pPr>
      <w:r>
        <w:rPr>
          <w:rFonts w:ascii="Arial" w:eastAsia="Arial" w:hAnsi="Arial" w:cs="Arial"/>
          <w:sz w:val="20"/>
          <w:szCs w:val="20"/>
        </w:rPr>
        <w:t>En multitarea y cargas mixtas: DDR5-5600 mantiene un rendimiento sólido sin penalizar autonomía ni estabilidad.</w:t>
      </w:r>
    </w:p>
    <w:p w14:paraId="27993C91" w14:textId="77777777" w:rsidR="00BE6367" w:rsidRDefault="00BE6367">
      <w:pPr>
        <w:spacing w:after="0"/>
        <w:ind w:left="360"/>
        <w:jc w:val="both"/>
        <w:rPr>
          <w:rFonts w:ascii="Arial" w:eastAsia="Arial" w:hAnsi="Arial" w:cs="Arial"/>
          <w:b/>
          <w:bCs/>
          <w:sz w:val="20"/>
          <w:szCs w:val="20"/>
        </w:rPr>
      </w:pPr>
    </w:p>
    <w:p w14:paraId="3CB55A39" w14:textId="77777777" w:rsidR="00BE6367" w:rsidRDefault="00C90F6A">
      <w:pPr>
        <w:spacing w:after="0"/>
        <w:ind w:left="360"/>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1453047E" w14:textId="77777777" w:rsidR="00BE6367" w:rsidRDefault="00BE6367">
      <w:pPr>
        <w:spacing w:after="0"/>
        <w:ind w:left="360"/>
        <w:jc w:val="both"/>
        <w:rPr>
          <w:rFonts w:ascii="Arial" w:eastAsia="Arial" w:hAnsi="Arial" w:cs="Arial"/>
          <w:sz w:val="20"/>
          <w:szCs w:val="20"/>
        </w:rPr>
      </w:pPr>
    </w:p>
    <w:p w14:paraId="4FE009B3" w14:textId="77777777" w:rsidR="00BE6367" w:rsidRDefault="00C90F6A">
      <w:pPr>
        <w:spacing w:after="0"/>
        <w:ind w:left="360"/>
        <w:jc w:val="both"/>
        <w:rPr>
          <w:rFonts w:ascii="Arial" w:eastAsia="Arial" w:hAnsi="Arial" w:cs="Arial"/>
          <w:sz w:val="20"/>
          <w:szCs w:val="20"/>
        </w:rPr>
      </w:pPr>
      <w:r>
        <w:rPr>
          <w:rFonts w:ascii="Arial" w:eastAsia="Arial" w:hAnsi="Arial" w:cs="Arial"/>
          <w:sz w:val="20"/>
          <w:szCs w:val="20"/>
        </w:rPr>
        <w:t>No se acoge la observación. La elección de memoria DDR5-6400 MT/s en los equipos All-in-One responde a un objetivo de largo plazo que garantiza un mayor ancho de banda frente a configuraciones de DDR5-5600 MT/s. En términos técnicos, la velocidad de 6400 MT/s representa aproximadamente un 15% más de tasa de transferencia, lo que favorece el movimiento de datos entre CPU y memoria en cargas sensibles al subsistema de memoria.</w:t>
      </w:r>
    </w:p>
    <w:p w14:paraId="60E0ED25" w14:textId="77777777" w:rsidR="00BE6367" w:rsidRDefault="00BE6367">
      <w:pPr>
        <w:spacing w:after="0"/>
        <w:ind w:left="360"/>
        <w:jc w:val="both"/>
        <w:rPr>
          <w:rFonts w:ascii="Arial" w:eastAsia="Arial" w:hAnsi="Arial" w:cs="Arial"/>
          <w:sz w:val="20"/>
          <w:szCs w:val="20"/>
        </w:rPr>
      </w:pPr>
    </w:p>
    <w:p w14:paraId="2FF68B78" w14:textId="77777777" w:rsidR="00BE6367" w:rsidRDefault="00C90F6A">
      <w:pPr>
        <w:spacing w:after="0"/>
        <w:ind w:left="360"/>
        <w:jc w:val="both"/>
        <w:rPr>
          <w:rFonts w:ascii="Arial" w:eastAsia="Arial" w:hAnsi="Arial" w:cs="Arial"/>
          <w:sz w:val="20"/>
          <w:szCs w:val="20"/>
        </w:rPr>
      </w:pPr>
      <w:r>
        <w:rPr>
          <w:rFonts w:ascii="Arial" w:eastAsia="Arial" w:hAnsi="Arial" w:cs="Arial"/>
          <w:sz w:val="20"/>
          <w:szCs w:val="20"/>
        </w:rPr>
        <w:t>En la práctica, este beneficio se refleja en escenarios de multitarea intensiva, colaboración con múltiples aplicaciones abiertas, videoconferencias, navegación exigente, analítica ligera y creación de contenido de oficina, donde una memoria más rápida contribuye a una mejor capacidad de respuesta del sistema.</w:t>
      </w:r>
    </w:p>
    <w:p w14:paraId="20514B12" w14:textId="77777777" w:rsidR="00BE6367" w:rsidRDefault="00BE6367">
      <w:pPr>
        <w:spacing w:after="0"/>
        <w:ind w:left="360"/>
        <w:jc w:val="both"/>
        <w:rPr>
          <w:rFonts w:ascii="Arial" w:eastAsia="Arial" w:hAnsi="Arial" w:cs="Arial"/>
          <w:sz w:val="20"/>
          <w:szCs w:val="20"/>
        </w:rPr>
      </w:pPr>
    </w:p>
    <w:p w14:paraId="69B9A829" w14:textId="77777777" w:rsidR="00BE6367" w:rsidRDefault="00C90F6A">
      <w:pPr>
        <w:spacing w:after="0"/>
        <w:ind w:left="360"/>
        <w:jc w:val="both"/>
        <w:rPr>
          <w:rFonts w:ascii="Arial" w:eastAsia="Arial" w:hAnsi="Arial" w:cs="Arial"/>
          <w:sz w:val="20"/>
          <w:szCs w:val="20"/>
        </w:rPr>
      </w:pPr>
      <w:r>
        <w:rPr>
          <w:rFonts w:ascii="Arial" w:eastAsia="Arial" w:hAnsi="Arial" w:cs="Arial"/>
          <w:sz w:val="20"/>
          <w:szCs w:val="20"/>
        </w:rPr>
        <w:t>La velocidad de operación solicitada garantiza a la Entidad contar con la versión más actualizada disponible en el mercado, lo que brinda seguridad sobre la vigencia tecnológica y confiabilidad de la inversión en el tiempo.</w:t>
      </w:r>
    </w:p>
    <w:p w14:paraId="127516B2" w14:textId="77777777" w:rsidR="00BE6367" w:rsidRDefault="00BE6367">
      <w:pPr>
        <w:spacing w:after="0"/>
        <w:ind w:left="360"/>
        <w:jc w:val="both"/>
        <w:rPr>
          <w:rFonts w:ascii="Arial" w:eastAsia="Arial" w:hAnsi="Arial" w:cs="Arial"/>
          <w:sz w:val="20"/>
          <w:szCs w:val="20"/>
        </w:rPr>
      </w:pPr>
    </w:p>
    <w:p w14:paraId="30F4706C" w14:textId="77777777" w:rsidR="00BE6367" w:rsidRDefault="00C90F6A">
      <w:pPr>
        <w:spacing w:after="0"/>
        <w:ind w:left="360"/>
        <w:jc w:val="both"/>
        <w:rPr>
          <w:rFonts w:ascii="Arial" w:eastAsia="Arial" w:hAnsi="Arial" w:cs="Arial"/>
          <w:sz w:val="20"/>
          <w:szCs w:val="20"/>
        </w:rPr>
      </w:pPr>
      <w:r>
        <w:rPr>
          <w:rFonts w:ascii="Arial" w:eastAsia="Arial" w:hAnsi="Arial" w:cs="Arial"/>
          <w:sz w:val="20"/>
          <w:szCs w:val="20"/>
        </w:rPr>
        <w:lastRenderedPageBreak/>
        <w:t>En consecuencia, se mantiene el requisito de memoria RAM DDR5 de mínimo 6400 MT/s con capacidad de expansión a 64 GB, considerando que esta especificación corresponde al nivel de desempeño esperado para el perfil de equipo requerido y resulta acorde con las plataformas tecnológicas de última generación disponibles en este segmento.</w:t>
      </w:r>
    </w:p>
    <w:p w14:paraId="2C89BD32" w14:textId="77777777" w:rsidR="00BE6367" w:rsidRDefault="00C90F6A">
      <w:pPr>
        <w:shd w:val="clear" w:color="auto" w:fill="FFFFFF"/>
        <w:jc w:val="both"/>
        <w:rPr>
          <w:rFonts w:ascii="Arial" w:eastAsia="Arial" w:hAnsi="Arial" w:cs="Arial"/>
          <w:sz w:val="20"/>
          <w:szCs w:val="20"/>
        </w:rPr>
      </w:pPr>
      <w:r>
        <w:rPr>
          <w:rFonts w:ascii="Arial" w:eastAsia="Arial" w:hAnsi="Arial" w:cs="Arial"/>
          <w:sz w:val="20"/>
          <w:szCs w:val="20"/>
        </w:rPr>
        <w:t> </w:t>
      </w:r>
    </w:p>
    <w:p w14:paraId="3B2BF876"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Camara WEB</w:t>
      </w:r>
    </w:p>
    <w:p w14:paraId="20E7A3C8" w14:textId="77777777" w:rsidR="00BE6367" w:rsidRDefault="00BE6367">
      <w:pPr>
        <w:shd w:val="clear" w:color="auto" w:fill="FFFFFF"/>
        <w:ind w:left="720"/>
        <w:jc w:val="both"/>
        <w:rPr>
          <w:rFonts w:ascii="Arial" w:eastAsia="Arial" w:hAnsi="Arial" w:cs="Arial"/>
          <w:sz w:val="20"/>
          <w:szCs w:val="20"/>
        </w:rPr>
      </w:pPr>
    </w:p>
    <w:p w14:paraId="7182EC1F" w14:textId="77777777" w:rsidR="00BE6367" w:rsidRDefault="00C90F6A">
      <w:pPr>
        <w:numPr>
          <w:ilvl w:val="0"/>
          <w:numId w:val="63"/>
        </w:numPr>
        <w:spacing w:after="0" w:line="240" w:lineRule="auto"/>
        <w:jc w:val="both"/>
        <w:rPr>
          <w:rFonts w:ascii="Arial" w:eastAsia="Arial" w:hAnsi="Arial" w:cs="Arial"/>
          <w:sz w:val="20"/>
          <w:szCs w:val="20"/>
        </w:rPr>
      </w:pPr>
      <w:r>
        <w:rPr>
          <w:rFonts w:ascii="Arial" w:eastAsia="Arial" w:hAnsi="Arial" w:cs="Arial"/>
          <w:sz w:val="20"/>
          <w:szCs w:val="20"/>
        </w:rPr>
        <w:t>Solicitamos respetuosamente a la entidad considerar la inclusión de características asociadas a capacidades de inteligencia artificial (IA) en la cámara, orientadas a optimizar la experiencia de colaboración, videoconferencia y trabajo híbrido. Actualmente, las plataformas empresariales modernas incorporan tecnologías basadas en IA que permiten funciones como encuadre automático del usuario, desenfoque o sustitución inteligente de fondo, correcciones dinámicas de iluminación, seguimiento del presentador, mejora de imagen en tiempo real y procesamiento avanzado de audio para reducción de ruido ambiental. Estas capacidades contribuyen significativamente a mejorar la calidad de las reuniones virtuales y la productividad de los usuarios. </w:t>
      </w:r>
    </w:p>
    <w:p w14:paraId="46A95181" w14:textId="77777777" w:rsidR="00BE6367" w:rsidRDefault="00C90F6A">
      <w:pPr>
        <w:numPr>
          <w:ilvl w:val="0"/>
          <w:numId w:val="63"/>
        </w:numPr>
        <w:spacing w:after="0" w:line="240" w:lineRule="auto"/>
        <w:jc w:val="both"/>
        <w:rPr>
          <w:rFonts w:ascii="Arial" w:eastAsia="Arial" w:hAnsi="Arial" w:cs="Arial"/>
          <w:sz w:val="20"/>
          <w:szCs w:val="20"/>
        </w:rPr>
      </w:pPr>
      <w:r>
        <w:rPr>
          <w:rFonts w:ascii="Arial" w:eastAsia="Arial" w:hAnsi="Arial" w:cs="Arial"/>
          <w:sz w:val="20"/>
          <w:szCs w:val="20"/>
        </w:rPr>
        <w:t>A diferencia de características tradicionales enfocadas únicamente en la calidad de captura de imagen, como HDR, cuyo aprovechamiento suele depender de condiciones específicas de iluminación y en muchos casos permanece subutilizado por desconocimiento de los usuarios, las funciones impulsadas por IA generan beneficios prácticos y visibles durante el uso diario de herramientas de colaboración tales como Microsoft Teams, Zoom, Webex y otras plataformas de comunicación corporativa.</w:t>
      </w:r>
    </w:p>
    <w:p w14:paraId="68A89F99" w14:textId="77777777" w:rsidR="00BE6367" w:rsidRDefault="00C90F6A">
      <w:pPr>
        <w:numPr>
          <w:ilvl w:val="0"/>
          <w:numId w:val="63"/>
        </w:numPr>
        <w:spacing w:after="0" w:line="240" w:lineRule="auto"/>
        <w:jc w:val="both"/>
        <w:rPr>
          <w:rFonts w:ascii="Arial" w:eastAsia="Arial" w:hAnsi="Arial" w:cs="Arial"/>
          <w:sz w:val="20"/>
          <w:szCs w:val="20"/>
        </w:rPr>
      </w:pPr>
      <w:r>
        <w:rPr>
          <w:rFonts w:ascii="Arial" w:eastAsia="Arial" w:hAnsi="Arial" w:cs="Arial"/>
          <w:sz w:val="20"/>
          <w:szCs w:val="20"/>
        </w:rPr>
        <w:t>Adicionalmente, las soluciones de videoconferencia basadas en IA permiten mejorar la presencia digital del usuario mediante ajustes automáticos de imagen y audio, reduciendo la necesidad de configuraciones manuales y garantizando una experiencia más consistente en diferentes entornos de trabajo. Estas funcionalidades representan una tendencia consolidada en el mercado de equipos corporativos de última generación, aportando un valor agregado tangible para los usuarios finales y favoreciendo un mejor aprovechamiento de las capacidades tecnológicas incluidas en la plataforma. El mantener como obligatorio la tecnología HDR restringe la participación de fabricantes que ofrecen tecnologías recientes y con mejoras de uso frente a HDR.</w:t>
      </w:r>
    </w:p>
    <w:p w14:paraId="27FF9357" w14:textId="77777777" w:rsidR="00BE6367" w:rsidRDefault="00BE6367">
      <w:pPr>
        <w:spacing w:after="0"/>
        <w:ind w:left="360"/>
        <w:jc w:val="both"/>
        <w:rPr>
          <w:rFonts w:ascii="Arial" w:eastAsia="Arial" w:hAnsi="Arial" w:cs="Arial"/>
          <w:b/>
          <w:bCs/>
          <w:sz w:val="20"/>
          <w:szCs w:val="20"/>
        </w:rPr>
      </w:pPr>
    </w:p>
    <w:p w14:paraId="12C43385" w14:textId="77777777" w:rsidR="00BE6367" w:rsidRDefault="00C90F6A">
      <w:pPr>
        <w:spacing w:after="0"/>
        <w:ind w:left="360"/>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0BF930AA" w14:textId="77777777" w:rsidR="00BE6367" w:rsidRDefault="00BE6367">
      <w:pPr>
        <w:spacing w:after="0"/>
        <w:ind w:left="360"/>
        <w:jc w:val="both"/>
        <w:rPr>
          <w:rFonts w:ascii="Arial" w:eastAsia="Arial" w:hAnsi="Arial" w:cs="Arial"/>
          <w:b/>
          <w:bCs/>
          <w:sz w:val="20"/>
          <w:szCs w:val="20"/>
        </w:rPr>
      </w:pPr>
    </w:p>
    <w:p w14:paraId="71CC97D6" w14:textId="77777777" w:rsidR="00BE6367" w:rsidRDefault="00C90F6A">
      <w:pPr>
        <w:spacing w:after="0"/>
        <w:ind w:left="360"/>
        <w:jc w:val="both"/>
        <w:rPr>
          <w:rFonts w:ascii="Arial" w:eastAsia="Arial" w:hAnsi="Arial" w:cs="Arial"/>
          <w:sz w:val="20"/>
          <w:szCs w:val="20"/>
        </w:rPr>
      </w:pPr>
      <w:r>
        <w:rPr>
          <w:rFonts w:ascii="Arial" w:eastAsia="Arial" w:hAnsi="Arial" w:cs="Arial"/>
          <w:sz w:val="20"/>
          <w:szCs w:val="20"/>
        </w:rPr>
        <w:t>No se acoge la observación. El requisito definido corresponde a los mínimos solicitados en la ficha técnica de producto, establecidas como condiciones necesarias para garantizar la calidad de imagen y el desempeño requerido por los usuarios.</w:t>
      </w:r>
    </w:p>
    <w:p w14:paraId="50E9E1C8" w14:textId="77777777" w:rsidR="00BE6367" w:rsidRDefault="00BE6367">
      <w:pPr>
        <w:spacing w:after="0"/>
        <w:ind w:left="360"/>
        <w:jc w:val="both"/>
        <w:rPr>
          <w:rFonts w:ascii="Arial" w:eastAsia="Arial" w:hAnsi="Arial" w:cs="Arial"/>
          <w:sz w:val="20"/>
          <w:szCs w:val="20"/>
        </w:rPr>
      </w:pPr>
    </w:p>
    <w:p w14:paraId="37878502" w14:textId="77777777" w:rsidR="00BE6367" w:rsidRDefault="00C90F6A">
      <w:pPr>
        <w:spacing w:after="0"/>
        <w:ind w:left="360"/>
        <w:jc w:val="both"/>
        <w:rPr>
          <w:rFonts w:ascii="Arial" w:eastAsia="Arial" w:hAnsi="Arial" w:cs="Arial"/>
          <w:sz w:val="20"/>
          <w:szCs w:val="20"/>
        </w:rPr>
      </w:pPr>
      <w:r>
        <w:rPr>
          <w:rFonts w:ascii="Arial" w:eastAsia="Arial" w:hAnsi="Arial" w:cs="Arial"/>
          <w:sz w:val="20"/>
          <w:szCs w:val="20"/>
        </w:rPr>
        <w:t>Se precisa que, si bien pueden existir equipos con funcionalidades adicionales como inteligencia artificial para encuadre, seguimiento o corrección automática, estas características se consideran superiores a lo mínimo exigido y podrán ser ofertadas siempre que cumplan con los parámetros básicos establecidos.</w:t>
      </w:r>
    </w:p>
    <w:p w14:paraId="65065EEA" w14:textId="77777777" w:rsidR="00BE6367" w:rsidRDefault="00BE6367">
      <w:pPr>
        <w:spacing w:after="0"/>
        <w:ind w:left="360"/>
        <w:jc w:val="both"/>
        <w:rPr>
          <w:rFonts w:ascii="Arial" w:eastAsia="Arial" w:hAnsi="Arial" w:cs="Arial"/>
          <w:sz w:val="20"/>
          <w:szCs w:val="20"/>
        </w:rPr>
      </w:pPr>
    </w:p>
    <w:p w14:paraId="407411E5" w14:textId="77777777" w:rsidR="00BE6367" w:rsidRDefault="00C90F6A">
      <w:pPr>
        <w:spacing w:after="0"/>
        <w:ind w:left="360"/>
        <w:jc w:val="both"/>
        <w:rPr>
          <w:rFonts w:ascii="Arial" w:eastAsia="Arial" w:hAnsi="Arial" w:cs="Arial"/>
          <w:sz w:val="20"/>
          <w:szCs w:val="20"/>
        </w:rPr>
      </w:pPr>
      <w:r>
        <w:rPr>
          <w:rFonts w:ascii="Arial" w:eastAsia="Arial" w:hAnsi="Arial" w:cs="Arial"/>
          <w:sz w:val="20"/>
          <w:szCs w:val="20"/>
        </w:rPr>
        <w:t>De esta manera se asegura que todos los oferentes partan de un estándar mínimo común, sin restringir la posibilidad de presentar soluciones con especificaciones más avanzada.</w:t>
      </w:r>
    </w:p>
    <w:p w14:paraId="3FDF64B2" w14:textId="77777777" w:rsidR="00BE6367" w:rsidRDefault="00C90F6A">
      <w:pPr>
        <w:shd w:val="clear" w:color="auto" w:fill="FFFFFF"/>
        <w:jc w:val="both"/>
        <w:rPr>
          <w:rFonts w:ascii="Arial" w:eastAsia="Arial" w:hAnsi="Arial" w:cs="Arial"/>
          <w:sz w:val="20"/>
          <w:szCs w:val="20"/>
        </w:rPr>
      </w:pPr>
      <w:r>
        <w:rPr>
          <w:rFonts w:ascii="Arial" w:eastAsia="Arial" w:hAnsi="Arial" w:cs="Arial"/>
          <w:sz w:val="20"/>
          <w:szCs w:val="20"/>
        </w:rPr>
        <w:t> </w:t>
      </w:r>
    </w:p>
    <w:p w14:paraId="7826C6B8"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WORKSTATION</w:t>
      </w:r>
    </w:p>
    <w:p w14:paraId="02A27AAE"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Fuente</w:t>
      </w:r>
    </w:p>
    <w:p w14:paraId="2E49262D" w14:textId="77777777" w:rsidR="00BE6367" w:rsidRDefault="00C90F6A">
      <w:pPr>
        <w:numPr>
          <w:ilvl w:val="0"/>
          <w:numId w:val="63"/>
        </w:numPr>
        <w:spacing w:after="0" w:line="240" w:lineRule="auto"/>
        <w:jc w:val="both"/>
        <w:rPr>
          <w:rFonts w:ascii="Arial" w:eastAsia="Arial" w:hAnsi="Arial" w:cs="Arial"/>
          <w:sz w:val="20"/>
          <w:szCs w:val="20"/>
        </w:rPr>
      </w:pPr>
      <w:r>
        <w:rPr>
          <w:rFonts w:ascii="Arial" w:eastAsia="Arial" w:hAnsi="Arial" w:cs="Arial"/>
          <w:sz w:val="20"/>
          <w:szCs w:val="20"/>
        </w:rPr>
        <w:t xml:space="preserve">Solicitamos respetuosamente a la entidad establecer como requisito una fuente de alimentación con capacidad mínima de 1200 W, considerando que esta potencia resulta adecuada para estaciones de trabajo de alto desempeño equipadas con procesadores de última generación, tarjetas gráficas profesionales, múltiples </w:t>
      </w:r>
      <w:r>
        <w:rPr>
          <w:rFonts w:ascii="Arial" w:eastAsia="Arial" w:hAnsi="Arial" w:cs="Arial"/>
          <w:sz w:val="20"/>
          <w:szCs w:val="20"/>
        </w:rPr>
        <w:lastRenderedPageBreak/>
        <w:t>dispositivos de almacenamiento y demás componentes orientados a cargas de trabajo exigentes.</w:t>
      </w:r>
    </w:p>
    <w:p w14:paraId="474A5255" w14:textId="77777777" w:rsidR="00BE6367" w:rsidRDefault="00C90F6A">
      <w:pPr>
        <w:numPr>
          <w:ilvl w:val="0"/>
          <w:numId w:val="63"/>
        </w:numPr>
        <w:spacing w:after="0" w:line="240" w:lineRule="auto"/>
        <w:jc w:val="both"/>
        <w:rPr>
          <w:rFonts w:ascii="Arial" w:eastAsia="Arial" w:hAnsi="Arial" w:cs="Arial"/>
          <w:sz w:val="20"/>
          <w:szCs w:val="20"/>
        </w:rPr>
      </w:pPr>
      <w:r>
        <w:rPr>
          <w:rFonts w:ascii="Arial" w:eastAsia="Arial" w:hAnsi="Arial" w:cs="Arial"/>
          <w:sz w:val="20"/>
          <w:szCs w:val="20"/>
        </w:rPr>
        <w:t>Desde el punto de vista técnico, una fuente de 1200 W proporciona la capacidad energética necesaria para soportar configuraciones avanzadas manteniendo márgenes adecuados de operación, estabilidad eléctrica y posibilidades de crecimiento futuro, sin necesidad de sobredimensionar innecesariamente la plataforma. Adicionalmente, las fuentes de alimentación alcanzan sus mejores niveles de eficiencia cuando operan dentro de rangos óptimos de carga, lo que contribuye a reducir el consumo energético, la generación de calor y los requerimientos de refrigeración, favoreciendo la sostenibilidad y la eficiencia operativa de la solución.</w:t>
      </w:r>
    </w:p>
    <w:p w14:paraId="09456A63" w14:textId="77777777" w:rsidR="00BE6367" w:rsidRDefault="00C90F6A">
      <w:pPr>
        <w:numPr>
          <w:ilvl w:val="0"/>
          <w:numId w:val="63"/>
        </w:numPr>
        <w:spacing w:after="0" w:line="240" w:lineRule="auto"/>
        <w:jc w:val="both"/>
        <w:rPr>
          <w:rFonts w:ascii="Arial" w:eastAsia="Arial" w:hAnsi="Arial" w:cs="Arial"/>
          <w:sz w:val="20"/>
          <w:szCs w:val="20"/>
        </w:rPr>
      </w:pPr>
      <w:r>
        <w:rPr>
          <w:rFonts w:ascii="Arial" w:eastAsia="Arial" w:hAnsi="Arial" w:cs="Arial"/>
          <w:sz w:val="20"/>
          <w:szCs w:val="20"/>
        </w:rPr>
        <w:t>De igual forma, es importante señalar que capacidades superiores a 1200 W no representan necesariamente una ventaja funcional para la operación prevista de este tipo de equipos, siempre que la configuración ofertada cuente con los componentes certificados por el fabricante para operar de manera estable y segura. Por el contrario, establecer una capacidad específica superior a la requerida por las necesidades reales de la plataforma puede restringir injustificadamente la participación de fabricantes que cuentan con soluciones plenamente funcionales y ampliamente reconocidas en el mercado.</w:t>
      </w:r>
    </w:p>
    <w:p w14:paraId="470F13D5" w14:textId="77777777" w:rsidR="00BE6367" w:rsidRDefault="00C90F6A">
      <w:pPr>
        <w:numPr>
          <w:ilvl w:val="0"/>
          <w:numId w:val="63"/>
        </w:numPr>
        <w:spacing w:after="0" w:line="240" w:lineRule="auto"/>
        <w:jc w:val="both"/>
        <w:rPr>
          <w:rFonts w:ascii="Arial" w:eastAsia="Arial" w:hAnsi="Arial" w:cs="Arial"/>
          <w:sz w:val="20"/>
          <w:szCs w:val="20"/>
        </w:rPr>
      </w:pPr>
      <w:r>
        <w:rPr>
          <w:rFonts w:ascii="Arial" w:eastAsia="Arial" w:hAnsi="Arial" w:cs="Arial"/>
          <w:sz w:val="20"/>
          <w:szCs w:val="20"/>
        </w:rPr>
        <w:t>Por las razones expuestas, solicitamos permitir la presentación de equipos con fuente de alimentación mínima de 1200 W, manteniendo el cumplimiento de las demás especificaciones técnicas exigidas por la entidad, promoviendo así una mayor participación del mercado sin afectar la funcionalidad, estabilidad ni el desempeño esperado de la solución.</w:t>
      </w:r>
    </w:p>
    <w:p w14:paraId="2878B13D" w14:textId="77777777" w:rsidR="00BE6367" w:rsidRDefault="00BE6367">
      <w:pPr>
        <w:spacing w:after="0"/>
        <w:ind w:left="360"/>
        <w:jc w:val="both"/>
        <w:rPr>
          <w:rFonts w:ascii="Arial" w:eastAsia="Arial" w:hAnsi="Arial" w:cs="Arial"/>
          <w:b/>
          <w:bCs/>
          <w:sz w:val="20"/>
          <w:szCs w:val="20"/>
        </w:rPr>
      </w:pPr>
    </w:p>
    <w:p w14:paraId="3934495A" w14:textId="77777777" w:rsidR="00BE6367" w:rsidRDefault="00C90F6A">
      <w:pPr>
        <w:spacing w:after="0"/>
        <w:ind w:left="360"/>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25EED385" w14:textId="77777777" w:rsidR="00BE6367" w:rsidRDefault="00BE6367">
      <w:pPr>
        <w:spacing w:after="0"/>
        <w:ind w:left="360"/>
        <w:jc w:val="both"/>
        <w:rPr>
          <w:rFonts w:ascii="Arial" w:eastAsia="Arial" w:hAnsi="Arial" w:cs="Arial"/>
          <w:sz w:val="20"/>
          <w:szCs w:val="20"/>
        </w:rPr>
      </w:pPr>
    </w:p>
    <w:p w14:paraId="56355647" w14:textId="77777777" w:rsidR="00BE6367" w:rsidRDefault="00C90F6A">
      <w:pPr>
        <w:spacing w:after="0"/>
        <w:ind w:left="360"/>
        <w:jc w:val="both"/>
        <w:rPr>
          <w:rFonts w:ascii="Arial" w:eastAsia="Arial" w:hAnsi="Arial" w:cs="Arial"/>
          <w:sz w:val="20"/>
          <w:szCs w:val="20"/>
        </w:rPr>
      </w:pPr>
      <w:r>
        <w:rPr>
          <w:rFonts w:ascii="Arial" w:eastAsia="Arial" w:hAnsi="Arial" w:cs="Arial"/>
          <w:sz w:val="20"/>
          <w:szCs w:val="20"/>
        </w:rPr>
        <w:t>No se acoge la observación. La exigencia de una fuente de poder de 1450W en la workstation se sustenta en la necesidad de garantizar capacidad real de vatiaje, escalabilidad futura y estabilidad de la configuración actual. Una workstation orientada a cargas profesionales integra procesadores de alto desempeño, memoria ECC, múltiples unidades de almacenamiento y tarjetas gráficas profesionales que elevan significativamente el consumo energético y generan picos de demanda. En escenarios de uso intensivo, no basta con cubrir el consumo promedio; la fuente debe soportar con holgura los picos transitorios para evitar inestabilidad, reinicios o limitaciones de desempeño.</w:t>
      </w:r>
    </w:p>
    <w:p w14:paraId="573BCE23" w14:textId="77777777" w:rsidR="00BE6367" w:rsidRDefault="00BE6367">
      <w:pPr>
        <w:spacing w:after="0"/>
        <w:ind w:left="360"/>
        <w:jc w:val="both"/>
        <w:rPr>
          <w:rFonts w:ascii="Arial" w:eastAsia="Arial" w:hAnsi="Arial" w:cs="Arial"/>
          <w:sz w:val="20"/>
          <w:szCs w:val="20"/>
        </w:rPr>
      </w:pPr>
    </w:p>
    <w:p w14:paraId="2C600795" w14:textId="77777777" w:rsidR="00BE6367" w:rsidRDefault="00C90F6A">
      <w:pPr>
        <w:spacing w:after="0"/>
        <w:ind w:left="360"/>
        <w:jc w:val="both"/>
        <w:rPr>
          <w:rFonts w:ascii="Arial" w:eastAsia="Arial" w:hAnsi="Arial" w:cs="Arial"/>
          <w:sz w:val="20"/>
          <w:szCs w:val="20"/>
        </w:rPr>
      </w:pPr>
      <w:r>
        <w:rPr>
          <w:rFonts w:ascii="Arial" w:eastAsia="Arial" w:hAnsi="Arial" w:cs="Arial"/>
          <w:sz w:val="20"/>
          <w:szCs w:val="20"/>
        </w:rPr>
        <w:t>Asimismo, contar con una fuente de mayor capacidad asegura vigencia tecnológica y escalabilidad, permitiendo ampliaciones de memoria, incorporación de más discos, tarjetas PCIe adicionales o una GPU de mayor consumo sin necesidad de reemplazar el equipo completo, lo que protege la inversión institucional y garantiza continuidad operativa. Una fuente sobredimensionada también trabaja en una zona más cómoda de operación, con menor estrés eléctrico y térmico, favoreciendo la operación continua, la confiabilidad general del sistema y la seguridad, al incluir protecciones contra sobrevoltaje, sobrecorriente, sobretemperatura y cortocircuito.</w:t>
      </w:r>
    </w:p>
    <w:p w14:paraId="7B0FA40F" w14:textId="77777777" w:rsidR="00BE6367" w:rsidRDefault="00BE6367">
      <w:pPr>
        <w:spacing w:after="0"/>
        <w:ind w:left="360"/>
        <w:jc w:val="both"/>
        <w:rPr>
          <w:rFonts w:ascii="Arial" w:eastAsia="Arial" w:hAnsi="Arial" w:cs="Arial"/>
          <w:sz w:val="20"/>
          <w:szCs w:val="20"/>
        </w:rPr>
      </w:pPr>
    </w:p>
    <w:p w14:paraId="2215D7DA" w14:textId="77777777" w:rsidR="00BE6367" w:rsidRDefault="00C90F6A">
      <w:pPr>
        <w:spacing w:after="0" w:line="240" w:lineRule="auto"/>
        <w:ind w:left="360"/>
        <w:jc w:val="both"/>
        <w:rPr>
          <w:rFonts w:ascii="Arial" w:eastAsia="Arial" w:hAnsi="Arial" w:cs="Arial"/>
          <w:sz w:val="20"/>
          <w:szCs w:val="20"/>
        </w:rPr>
      </w:pPr>
      <w:r>
        <w:rPr>
          <w:rFonts w:ascii="Arial" w:eastAsia="Arial" w:hAnsi="Arial" w:cs="Arial"/>
          <w:sz w:val="20"/>
          <w:szCs w:val="20"/>
        </w:rPr>
        <w:t>En consecuencia, se mantiene el requisito de fuente de poder de 1450W, dado que constituye un parámetro mínimo indispensable para asegurar el rendimiento, la escalabilidad y la confiabilidad de las workstations en los escenarios de uso previstos por la Entidad.</w:t>
      </w:r>
    </w:p>
    <w:p w14:paraId="3B06782C" w14:textId="77777777" w:rsidR="00BE6367" w:rsidRDefault="00BE6367">
      <w:pPr>
        <w:shd w:val="clear" w:color="auto" w:fill="FFFFFF"/>
        <w:ind w:left="720"/>
        <w:jc w:val="both"/>
        <w:rPr>
          <w:rFonts w:ascii="Arial" w:eastAsia="Arial" w:hAnsi="Arial" w:cs="Arial"/>
          <w:sz w:val="20"/>
          <w:szCs w:val="20"/>
        </w:rPr>
      </w:pPr>
    </w:p>
    <w:p w14:paraId="023D0FBF"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Teclado//</w:t>
      </w:r>
    </w:p>
    <w:p w14:paraId="7B91CB1B" w14:textId="77777777" w:rsidR="00BE6367" w:rsidRDefault="00C90F6A">
      <w:pPr>
        <w:numPr>
          <w:ilvl w:val="0"/>
          <w:numId w:val="63"/>
        </w:numPr>
        <w:spacing w:after="0" w:line="240" w:lineRule="auto"/>
        <w:jc w:val="both"/>
        <w:rPr>
          <w:rFonts w:ascii="Arial" w:eastAsia="Arial" w:hAnsi="Arial" w:cs="Arial"/>
          <w:sz w:val="20"/>
          <w:szCs w:val="20"/>
        </w:rPr>
      </w:pPr>
      <w:r>
        <w:rPr>
          <w:rFonts w:ascii="Arial" w:eastAsia="Arial" w:hAnsi="Arial" w:cs="Arial"/>
          <w:sz w:val="20"/>
          <w:szCs w:val="20"/>
        </w:rPr>
        <w:t>Solicitamos amablemente se indique teclado de la misma marca del fabricante, ya que las características que se indica no son cumplibles por las opciones estándar para las plataformas Workstation Corporativas. Si se requiere que sea un teclado pensado para video juegos, sugerimos se solicite como accesorio ya que no se posible cumplir por los fabricantes con las especificaciones indicadas.</w:t>
      </w:r>
    </w:p>
    <w:p w14:paraId="2329B7E9" w14:textId="77777777" w:rsidR="00BE6367" w:rsidRDefault="00BE6367">
      <w:pPr>
        <w:shd w:val="clear" w:color="auto" w:fill="FFFFFF"/>
        <w:ind w:left="720"/>
        <w:jc w:val="both"/>
        <w:rPr>
          <w:rFonts w:ascii="Arial" w:eastAsia="Arial" w:hAnsi="Arial" w:cs="Arial"/>
          <w:b/>
          <w:bCs/>
          <w:sz w:val="20"/>
          <w:szCs w:val="20"/>
        </w:rPr>
      </w:pPr>
    </w:p>
    <w:p w14:paraId="12811BD2" w14:textId="77777777" w:rsidR="00BE6367" w:rsidRDefault="00C90F6A">
      <w:pPr>
        <w:shd w:val="clear" w:color="auto" w:fill="FFFFFF"/>
        <w:ind w:left="720"/>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7E150746" w14:textId="77777777" w:rsidR="00BE6367" w:rsidRDefault="00C90F6A">
      <w:pPr>
        <w:shd w:val="clear" w:color="auto" w:fill="FFFFFF"/>
        <w:ind w:left="720"/>
        <w:jc w:val="both"/>
        <w:rPr>
          <w:rFonts w:ascii="Arial" w:eastAsia="Arial" w:hAnsi="Arial" w:cs="Arial"/>
          <w:sz w:val="20"/>
          <w:szCs w:val="20"/>
        </w:rPr>
      </w:pPr>
      <w:r>
        <w:rPr>
          <w:rFonts w:ascii="Arial" w:eastAsia="Arial" w:hAnsi="Arial" w:cs="Arial"/>
          <w:sz w:val="20"/>
          <w:szCs w:val="20"/>
        </w:rPr>
        <w:t>No se acepta la observación, teniendo en cuenta que los requisitos definidos corresponden a parámetros mínimos orientados a cubrir las necesidades actuales de los usuarios, sin que ello implique la obligación de que los accesorios provengan de una marca específica. Las especificaciones solicitadas son de libre cumplimiento en el mercado y pueden ser atendidas por diferentes fabricantes, garantizando que los equipos respondan adecuadamente a los perfiles de uso previstos por la entidad. No obstante se suprime el requisito de periféricos “Gaming”.</w:t>
      </w:r>
    </w:p>
    <w:p w14:paraId="07C50D48"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Mouse //</w:t>
      </w:r>
    </w:p>
    <w:p w14:paraId="2D9B3895" w14:textId="77777777" w:rsidR="00BE6367" w:rsidRDefault="00C90F6A">
      <w:pPr>
        <w:numPr>
          <w:ilvl w:val="0"/>
          <w:numId w:val="63"/>
        </w:numPr>
        <w:spacing w:after="0" w:line="240" w:lineRule="auto"/>
        <w:jc w:val="both"/>
        <w:rPr>
          <w:rFonts w:ascii="Arial" w:eastAsia="Arial" w:hAnsi="Arial" w:cs="Arial"/>
          <w:sz w:val="20"/>
          <w:szCs w:val="20"/>
        </w:rPr>
      </w:pPr>
      <w:r>
        <w:rPr>
          <w:rFonts w:ascii="Arial" w:eastAsia="Arial" w:hAnsi="Arial" w:cs="Arial"/>
          <w:sz w:val="20"/>
          <w:szCs w:val="20"/>
        </w:rPr>
        <w:t>Solicitamos amablemente se indique teclado de la misma marca del fabricante, ya que las características que se indica no son cumplibles por las opciones estándar para las plataformas Workstation Corporativas. Si se requiere que sea un mouse pensado para video juegos, sugerimos se solicite como accesorio ya que no se posible cumplir por los fabricantes con las especificaciones indicadas.</w:t>
      </w:r>
    </w:p>
    <w:p w14:paraId="36D67329" w14:textId="77777777" w:rsidR="00BE6367" w:rsidRDefault="00BE6367">
      <w:pPr>
        <w:spacing w:after="0" w:line="240" w:lineRule="auto"/>
        <w:ind w:left="720"/>
        <w:jc w:val="both"/>
        <w:rPr>
          <w:rFonts w:ascii="Arial" w:eastAsia="Arial" w:hAnsi="Arial" w:cs="Arial"/>
          <w:sz w:val="20"/>
          <w:szCs w:val="20"/>
        </w:rPr>
      </w:pPr>
    </w:p>
    <w:p w14:paraId="5C0CCD3A" w14:textId="77777777" w:rsidR="00BE6367" w:rsidRDefault="00C90F6A">
      <w:pPr>
        <w:shd w:val="clear" w:color="auto" w:fill="FFFFFF"/>
        <w:ind w:left="720"/>
        <w:jc w:val="both"/>
        <w:rPr>
          <w:rFonts w:ascii="Arial" w:eastAsia="Arial" w:hAnsi="Arial" w:cs="Arial"/>
          <w:sz w:val="20"/>
          <w:szCs w:val="20"/>
        </w:rPr>
      </w:pPr>
      <w:r>
        <w:rPr>
          <w:rFonts w:ascii="Arial" w:eastAsia="Arial" w:hAnsi="Arial" w:cs="Arial"/>
          <w:b/>
          <w:bCs/>
          <w:sz w:val="20"/>
          <w:szCs w:val="20"/>
        </w:rPr>
        <w:t xml:space="preserve">RESPUESTA A OBSERVACIÓN: </w:t>
      </w:r>
      <w:r>
        <w:rPr>
          <w:rFonts w:ascii="Arial" w:eastAsia="Arial" w:hAnsi="Arial" w:cs="Arial"/>
          <w:sz w:val="20"/>
          <w:szCs w:val="20"/>
        </w:rPr>
        <w:t xml:space="preserve"> </w:t>
      </w:r>
    </w:p>
    <w:p w14:paraId="722A0209" w14:textId="77777777" w:rsidR="00BE6367" w:rsidRDefault="00C90F6A">
      <w:pPr>
        <w:shd w:val="clear" w:color="auto" w:fill="FFFFFF"/>
        <w:ind w:left="720"/>
        <w:jc w:val="both"/>
        <w:rPr>
          <w:rFonts w:ascii="Arial" w:eastAsia="Arial" w:hAnsi="Arial" w:cs="Arial"/>
          <w:sz w:val="20"/>
          <w:szCs w:val="20"/>
        </w:rPr>
      </w:pPr>
      <w:r>
        <w:rPr>
          <w:rFonts w:ascii="Arial" w:eastAsia="Arial" w:hAnsi="Arial" w:cs="Arial"/>
          <w:sz w:val="20"/>
          <w:szCs w:val="20"/>
        </w:rPr>
        <w:t>No se acepta la observación, teniendo en cuenta que los requisitos definidos corresponden a parámetros mínimos orientados a cubrir las necesidades actuales de los usuarios, sin que ello implique la obligación de que los accesorios provengan de una marca específica. Las especificaciones solicitadas son de libre cumplimiento en el mercado y pueden ser atendidas por diferentes fabricantes, garantizando que los equipos respondan adecuadamente a los perfiles de uso previstos por la entidad. No obstante se suprime el requisito de periféricos “Gaming”.</w:t>
      </w:r>
    </w:p>
    <w:p w14:paraId="509CF68D"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Puertos USB//</w:t>
      </w:r>
    </w:p>
    <w:p w14:paraId="30AB4CA0" w14:textId="77777777" w:rsidR="00BE6367" w:rsidRDefault="00C90F6A">
      <w:pPr>
        <w:numPr>
          <w:ilvl w:val="0"/>
          <w:numId w:val="63"/>
        </w:numPr>
        <w:spacing w:after="0" w:line="240" w:lineRule="auto"/>
        <w:jc w:val="both"/>
        <w:rPr>
          <w:rFonts w:ascii="Arial" w:eastAsia="Arial" w:hAnsi="Arial" w:cs="Arial"/>
          <w:sz w:val="20"/>
          <w:szCs w:val="20"/>
        </w:rPr>
      </w:pPr>
      <w:r>
        <w:rPr>
          <w:rFonts w:ascii="Arial" w:eastAsia="Arial" w:hAnsi="Arial" w:cs="Arial"/>
          <w:sz w:val="20"/>
          <w:szCs w:val="20"/>
        </w:rPr>
        <w:t>Solicitamos que para los puestos USB-C se soliciten mínimo 10 puertos de los cuales al menos 2 puertos sean USB-C 3.2 Gen 2 2X2, 6 USB -A 10Gbps y 2 USB-A 2.0, este es el estándar del mercado usado para la conexión de periféricos y accesorios de última generación, permitiendo el apoyo requerido para los usuarios de estas plataformas. EL mantener el requerimiento como se indica, esta haciendo clara referencia a un solo fabricante que cumple con las especificaciones de puertos indicados en la ficha técnica.</w:t>
      </w:r>
    </w:p>
    <w:p w14:paraId="36A761F4" w14:textId="77777777" w:rsidR="00BE6367" w:rsidRDefault="00BE6367">
      <w:pPr>
        <w:spacing w:after="0" w:line="240" w:lineRule="auto"/>
        <w:ind w:left="720"/>
        <w:jc w:val="both"/>
        <w:rPr>
          <w:rFonts w:ascii="Arial" w:eastAsia="Arial" w:hAnsi="Arial" w:cs="Arial"/>
          <w:sz w:val="20"/>
          <w:szCs w:val="20"/>
        </w:rPr>
      </w:pPr>
    </w:p>
    <w:p w14:paraId="4E65A096" w14:textId="77777777" w:rsidR="00BE6367" w:rsidRDefault="00C90F6A">
      <w:pPr>
        <w:pBdr>
          <w:top w:val="nil"/>
          <w:left w:val="nil"/>
          <w:bottom w:val="nil"/>
          <w:right w:val="nil"/>
          <w:between w:val="nil"/>
        </w:pBdr>
        <w:ind w:left="720"/>
        <w:jc w:val="both"/>
        <w:rPr>
          <w:rFonts w:ascii="Arial" w:eastAsia="Arial" w:hAnsi="Arial" w:cs="Arial"/>
          <w:b/>
          <w:bCs/>
          <w:color w:val="000000"/>
          <w:sz w:val="20"/>
          <w:szCs w:val="20"/>
        </w:rPr>
      </w:pPr>
      <w:r>
        <w:rPr>
          <w:rFonts w:ascii="Arial" w:eastAsia="Arial" w:hAnsi="Arial" w:cs="Arial"/>
          <w:b/>
          <w:bCs/>
          <w:sz w:val="20"/>
          <w:szCs w:val="20"/>
        </w:rPr>
        <w:t xml:space="preserve">RESPUESTA A OBSERVACIÓN: </w:t>
      </w:r>
      <w:r>
        <w:rPr>
          <w:rFonts w:ascii="Arial" w:eastAsia="Arial" w:hAnsi="Arial" w:cs="Arial"/>
          <w:b/>
          <w:bCs/>
          <w:color w:val="000000"/>
          <w:sz w:val="20"/>
          <w:szCs w:val="20"/>
        </w:rPr>
        <w:t xml:space="preserve"> </w:t>
      </w:r>
    </w:p>
    <w:p w14:paraId="2BCE7741" w14:textId="77777777" w:rsidR="00BE6367" w:rsidRDefault="00C90F6A">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No se acoge la observación, toda vez que los puertos solicitados corresponden a los mínimos requeridos para el adecuado desarrollo de las labores de los usuarios, según lo definido en la ficha técnica. Se precisa que equipos con un mayor número de puertos o con características superiores serán igualmente admitidos, siempre que cumplan con dichos mínimos, garantizando así la funcionalidad, desempeño y vigencia tecnológica del producto.</w:t>
      </w:r>
    </w:p>
    <w:p w14:paraId="2AC1CD82" w14:textId="77777777" w:rsidR="00BE6367" w:rsidRDefault="00BE6367">
      <w:pPr>
        <w:shd w:val="clear" w:color="auto" w:fill="FFFFFF"/>
        <w:jc w:val="both"/>
        <w:rPr>
          <w:rFonts w:ascii="Arial" w:eastAsia="Arial" w:hAnsi="Arial" w:cs="Arial"/>
          <w:sz w:val="20"/>
          <w:szCs w:val="20"/>
        </w:rPr>
      </w:pPr>
    </w:p>
    <w:p w14:paraId="67F5C659"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ACCESORIOS</w:t>
      </w:r>
    </w:p>
    <w:p w14:paraId="5AC7212B"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Monitores </w:t>
      </w:r>
    </w:p>
    <w:p w14:paraId="24504A7C"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Puertos</w:t>
      </w:r>
    </w:p>
    <w:p w14:paraId="3746450C" w14:textId="77777777" w:rsidR="00BE6367" w:rsidRDefault="00BE6367">
      <w:pPr>
        <w:shd w:val="clear" w:color="auto" w:fill="FFFFFF"/>
        <w:jc w:val="both"/>
        <w:rPr>
          <w:rFonts w:ascii="Arial" w:eastAsia="Arial" w:hAnsi="Arial" w:cs="Arial"/>
          <w:color w:val="000000"/>
          <w:sz w:val="20"/>
          <w:szCs w:val="20"/>
        </w:rPr>
      </w:pPr>
    </w:p>
    <w:p w14:paraId="1DD3BA93" w14:textId="77777777" w:rsidR="00BE6367" w:rsidRDefault="00C90F6A">
      <w:pPr>
        <w:jc w:val="both"/>
        <w:rPr>
          <w:rFonts w:ascii="Arial" w:eastAsia="Arial" w:hAnsi="Arial" w:cs="Arial"/>
          <w:sz w:val="20"/>
          <w:szCs w:val="20"/>
        </w:rPr>
      </w:pPr>
      <w:r>
        <w:rPr>
          <w:rFonts w:ascii="Arial" w:eastAsia="Arial" w:hAnsi="Arial" w:cs="Arial"/>
          <w:sz w:val="20"/>
          <w:szCs w:val="20"/>
        </w:rPr>
        <w:t xml:space="preserve">Se solicita se permita que la oferta del puerto VGA sea opcional, el estándar del mercado ha dejado de ofertar este puerto ya que las plataformas corporativas cuentan con puertos HDMI o </w:t>
      </w:r>
      <w:r>
        <w:rPr>
          <w:rFonts w:ascii="Arial" w:eastAsia="Arial" w:hAnsi="Arial" w:cs="Arial"/>
          <w:sz w:val="20"/>
          <w:szCs w:val="20"/>
        </w:rPr>
        <w:lastRenderedPageBreak/>
        <w:t>Display Port como fuentes de salida de video, por lo tanto, se ha dejado de usar el puerto VGA. Recomendamos solicitar mínimo puerto HDMI o Display Port.</w:t>
      </w:r>
    </w:p>
    <w:p w14:paraId="5EA94B61" w14:textId="77777777" w:rsidR="00BE6367" w:rsidRDefault="00C90F6A">
      <w:pPr>
        <w:pBdr>
          <w:top w:val="nil"/>
          <w:left w:val="nil"/>
          <w:bottom w:val="nil"/>
          <w:right w:val="nil"/>
          <w:between w:val="nil"/>
        </w:pBdr>
        <w:jc w:val="both"/>
        <w:rPr>
          <w:rFonts w:ascii="Arial" w:eastAsia="Arial" w:hAnsi="Arial" w:cs="Arial"/>
          <w:sz w:val="20"/>
          <w:szCs w:val="20"/>
        </w:rPr>
      </w:pPr>
      <w:r>
        <w:rPr>
          <w:rFonts w:ascii="Arial" w:eastAsia="Arial" w:hAnsi="Arial" w:cs="Arial"/>
          <w:b/>
          <w:bCs/>
          <w:sz w:val="20"/>
          <w:szCs w:val="20"/>
        </w:rPr>
        <w:t>RESPUESTA A OBSERVACIÓN:</w:t>
      </w:r>
    </w:p>
    <w:p w14:paraId="1FBDA800" w14:textId="77777777" w:rsidR="00BE6367" w:rsidRDefault="00C90F6A">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 acepta la observación y, en consecuencia, se modifica el requerimiento estableciendo que el puerto VGA será de carácter opcional en los monitores destinados a equipos de PC. Esto se define teniendo en cuenta que actualmente las plataformas corporativas utilizan principalmente conexiones HDMI, y que existe disponibilidad en el mercado de diferentes fabricantes que aún ofrecen equipos con este tipo de puerto.</w:t>
      </w:r>
    </w:p>
    <w:p w14:paraId="49E2C0B8"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#3</w:t>
      </w:r>
    </w:p>
    <w:p w14:paraId="1B083FF1" w14:textId="77777777" w:rsidR="00BE6367" w:rsidRDefault="00BE6367">
      <w:pPr>
        <w:jc w:val="both"/>
        <w:rPr>
          <w:rFonts w:ascii="Arial" w:eastAsia="Arial" w:hAnsi="Arial" w:cs="Arial"/>
          <w:sz w:val="20"/>
          <w:szCs w:val="20"/>
        </w:rPr>
      </w:pPr>
    </w:p>
    <w:p w14:paraId="2689C603" w14:textId="77777777" w:rsidR="00BE6367" w:rsidRDefault="00C90F6A">
      <w:pPr>
        <w:jc w:val="both"/>
        <w:rPr>
          <w:rFonts w:ascii="Arial" w:eastAsia="Arial" w:hAnsi="Arial" w:cs="Arial"/>
          <w:sz w:val="20"/>
          <w:szCs w:val="20"/>
        </w:rPr>
      </w:pPr>
      <w:r>
        <w:rPr>
          <w:rFonts w:ascii="Arial" w:eastAsia="Arial" w:hAnsi="Arial" w:cs="Arial"/>
          <w:sz w:val="20"/>
          <w:szCs w:val="20"/>
        </w:rPr>
        <w:t>Sugerimos a la entidad incluir las siguientes especificaciones:</w:t>
      </w:r>
      <w:bookmarkStart w:id="21" w:name="bookmark=id.2zutrp78kj6x" w:colFirst="0" w:colLast="0"/>
      <w:bookmarkEnd w:id="21"/>
    </w:p>
    <w:p w14:paraId="0E7E232E" w14:textId="77777777" w:rsidR="00BE6367" w:rsidRDefault="00BE6367">
      <w:pPr>
        <w:jc w:val="both"/>
        <w:rPr>
          <w:rFonts w:ascii="Arial" w:eastAsia="Arial" w:hAnsi="Arial" w:cs="Arial"/>
          <w:sz w:val="20"/>
          <w:szCs w:val="20"/>
        </w:rPr>
      </w:pPr>
    </w:p>
    <w:p w14:paraId="18185722" w14:textId="77777777" w:rsidR="00BE6367" w:rsidRDefault="00C90F6A">
      <w:pPr>
        <w:shd w:val="clear" w:color="auto" w:fill="FFFFFF"/>
        <w:jc w:val="both"/>
        <w:rPr>
          <w:rFonts w:ascii="Arial" w:eastAsia="Arial" w:hAnsi="Arial" w:cs="Arial"/>
          <w:color w:val="242424"/>
          <w:sz w:val="20"/>
          <w:szCs w:val="20"/>
        </w:rPr>
      </w:pPr>
      <w:r>
        <w:rPr>
          <w:rFonts w:ascii="Arial" w:eastAsia="Arial" w:hAnsi="Arial" w:cs="Arial"/>
          <w:b/>
          <w:bCs/>
          <w:color w:val="000000"/>
          <w:sz w:val="20"/>
          <w:szCs w:val="20"/>
        </w:rPr>
        <w:t>Norma// EPEAT Gold</w:t>
      </w:r>
      <w:r>
        <w:rPr>
          <w:rFonts w:ascii="Arial" w:eastAsia="Arial" w:hAnsi="Arial" w:cs="Arial"/>
          <w:color w:val="000000"/>
          <w:sz w:val="20"/>
          <w:szCs w:val="20"/>
        </w:rPr>
        <w:t> </w:t>
      </w:r>
    </w:p>
    <w:p w14:paraId="78D36866" w14:textId="77777777" w:rsidR="00BE6367" w:rsidRDefault="00C90F6A">
      <w:pPr>
        <w:shd w:val="clear" w:color="auto" w:fill="FFFFFF"/>
        <w:jc w:val="both"/>
        <w:rPr>
          <w:rFonts w:ascii="Arial" w:eastAsia="Arial" w:hAnsi="Arial" w:cs="Arial"/>
          <w:color w:val="000000"/>
          <w:sz w:val="20"/>
          <w:szCs w:val="20"/>
        </w:rPr>
      </w:pPr>
      <w:r>
        <w:rPr>
          <w:rFonts w:ascii="Arial" w:eastAsia="Arial" w:hAnsi="Arial" w:cs="Arial"/>
          <w:color w:val="000000"/>
          <w:sz w:val="20"/>
          <w:szCs w:val="20"/>
        </w:rPr>
        <w:t xml:space="preserve">Se solicita a la entidad incluir las certificaciones EPEAT en su nivel GOLD para este perfil, las cual le va permitir apoyar directamente los compromisos que Colombia asumió en la “COP16” sobre carbono neutralidad y preservación del medio ambiente basados en la “Estrategia Colombia Carbono Neutral (ECCN)” del Ministerio de Ambiente y Desarrollo Sostenible, donde se busca promover el empoderamiento climático e involucramiento del sector público, privado y la sociedad civil en la consecución de las metas de reducción de emisiones de gases de efecto invernadero y la carbono neutralidad en Colombia. Finalmente, la inclusión de EPEAT GOLD esta acorde a la “Ley de Acción Climática” que busca impulsar el desarrollo sostenible de Colombia a través del establecimiento de metas y medidas que conducirán a la neutralidad de </w:t>
      </w:r>
      <w:r>
        <w:rPr>
          <w:rFonts w:ascii="Arial" w:eastAsia="Arial" w:hAnsi="Arial" w:cs="Arial"/>
          <w:sz w:val="20"/>
          <w:szCs w:val="20"/>
        </w:rPr>
        <w:t>carbono</w:t>
      </w:r>
      <w:r>
        <w:rPr>
          <w:rFonts w:ascii="Arial" w:eastAsia="Arial" w:hAnsi="Arial" w:cs="Arial"/>
          <w:color w:val="000000"/>
          <w:sz w:val="20"/>
          <w:szCs w:val="20"/>
        </w:rPr>
        <w:t>. </w:t>
      </w:r>
    </w:p>
    <w:p w14:paraId="615901F8" w14:textId="77777777" w:rsidR="00BE6367" w:rsidRDefault="00BE6367">
      <w:pPr>
        <w:shd w:val="clear" w:color="auto" w:fill="FFFFFF"/>
        <w:jc w:val="both"/>
        <w:rPr>
          <w:rFonts w:ascii="Arial" w:eastAsia="Arial" w:hAnsi="Arial" w:cs="Arial"/>
          <w:color w:val="000000"/>
          <w:sz w:val="20"/>
          <w:szCs w:val="20"/>
        </w:rPr>
      </w:pPr>
    </w:p>
    <w:p w14:paraId="2EAD7D1B" w14:textId="77777777" w:rsidR="00BE6367" w:rsidRDefault="00C90F6A">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sz w:val="20"/>
          <w:szCs w:val="20"/>
        </w:rPr>
        <w:t>RESPUESTA A OBSERVACIÓN:</w:t>
      </w:r>
      <w:r>
        <w:rPr>
          <w:rFonts w:ascii="Arial" w:eastAsia="Arial" w:hAnsi="Arial" w:cs="Arial"/>
          <w:color w:val="000000"/>
          <w:sz w:val="20"/>
          <w:szCs w:val="20"/>
        </w:rPr>
        <w:t xml:space="preserve"> </w:t>
      </w:r>
    </w:p>
    <w:p w14:paraId="50A551DE" w14:textId="77777777" w:rsidR="00BE6367" w:rsidRDefault="00C90F6A">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 acepta parcialmente la observación, en el entendido de que se modificará el requerimiento de certificación ambiental de EPEAT Silver a EPEAT Gold, únicamente para los equipos correspondientes a los ítems 1 y 2, que representan el mayor volumen de adquisición dentro del proceso. Esta modificación resulta viable en la medida en que fortalece el cumplimiento de los estándares de normatividad climática y contribuye a la sostenibilidad institucional.</w:t>
      </w:r>
    </w:p>
    <w:p w14:paraId="7142A26A" w14:textId="77777777" w:rsidR="00BE6367" w:rsidRDefault="00C90F6A">
      <w:pPr>
        <w:shd w:val="clear" w:color="auto" w:fill="FFFFFF"/>
        <w:jc w:val="both"/>
        <w:rPr>
          <w:rFonts w:ascii="Arial" w:eastAsia="Arial" w:hAnsi="Arial" w:cs="Arial"/>
          <w:color w:val="242424"/>
          <w:sz w:val="20"/>
          <w:szCs w:val="20"/>
        </w:rPr>
      </w:pPr>
      <w:r>
        <w:rPr>
          <w:rFonts w:ascii="Arial" w:eastAsia="Arial" w:hAnsi="Arial" w:cs="Arial"/>
          <w:b/>
          <w:bCs/>
          <w:color w:val="000000"/>
          <w:sz w:val="20"/>
          <w:szCs w:val="20"/>
        </w:rPr>
        <w:t>Norma// EPEAT Climate+</w:t>
      </w:r>
      <w:r>
        <w:rPr>
          <w:rFonts w:ascii="Arial" w:eastAsia="Arial" w:hAnsi="Arial" w:cs="Arial"/>
          <w:color w:val="000000"/>
          <w:sz w:val="20"/>
          <w:szCs w:val="20"/>
        </w:rPr>
        <w:t> </w:t>
      </w:r>
    </w:p>
    <w:p w14:paraId="245DA483" w14:textId="77777777" w:rsidR="00BE6367" w:rsidRDefault="00C90F6A">
      <w:pPr>
        <w:shd w:val="clear" w:color="auto" w:fill="FFFFFF"/>
        <w:jc w:val="both"/>
        <w:rPr>
          <w:rFonts w:ascii="Arial" w:eastAsia="Arial" w:hAnsi="Arial" w:cs="Arial"/>
          <w:color w:val="242424"/>
          <w:sz w:val="20"/>
          <w:szCs w:val="20"/>
        </w:rPr>
      </w:pPr>
      <w:r>
        <w:rPr>
          <w:rFonts w:ascii="Arial" w:eastAsia="Arial" w:hAnsi="Arial" w:cs="Arial"/>
          <w:color w:val="000000"/>
          <w:sz w:val="20"/>
          <w:szCs w:val="20"/>
        </w:rPr>
        <w:t>Se solicita a la entidad incluir Epeat Climate +. Los productos registrados en EPEAT Climate+ cumplen con criterios rigurosos que aseguran a los compradores que tienen un impacto limitado en el cambio climático. Estos criterios se basan en el impacto del ciclo de vida de los productos electrónicos. La designación EPEAT Climate+ está reservada para productos que pueden verificarse de forma independiente según estos criterios: </w:t>
      </w:r>
    </w:p>
    <w:p w14:paraId="377CED90" w14:textId="77777777" w:rsidR="00BE6367" w:rsidRDefault="00C90F6A">
      <w:pPr>
        <w:shd w:val="clear" w:color="auto" w:fill="FFFFFF"/>
        <w:jc w:val="both"/>
        <w:rPr>
          <w:rFonts w:ascii="Arial" w:eastAsia="Arial" w:hAnsi="Arial" w:cs="Arial"/>
          <w:color w:val="242424"/>
          <w:sz w:val="20"/>
          <w:szCs w:val="20"/>
        </w:rPr>
      </w:pPr>
      <w:r>
        <w:rPr>
          <w:rFonts w:ascii="Arial" w:eastAsia="Arial" w:hAnsi="Arial" w:cs="Arial"/>
          <w:color w:val="000000"/>
          <w:sz w:val="20"/>
          <w:szCs w:val="20"/>
        </w:rPr>
        <w:t>  </w:t>
      </w:r>
    </w:p>
    <w:p w14:paraId="4EB27B16" w14:textId="77777777" w:rsidR="00BE6367" w:rsidRDefault="00C90F6A">
      <w:pPr>
        <w:numPr>
          <w:ilvl w:val="0"/>
          <w:numId w:val="64"/>
        </w:numPr>
        <w:shd w:val="clear" w:color="auto" w:fill="FFFFFF"/>
        <w:spacing w:after="0"/>
        <w:jc w:val="both"/>
        <w:rPr>
          <w:rFonts w:ascii="Arial" w:eastAsia="Arial" w:hAnsi="Arial" w:cs="Arial"/>
          <w:color w:val="000000"/>
        </w:rPr>
      </w:pPr>
      <w:r>
        <w:rPr>
          <w:rFonts w:ascii="Arial" w:eastAsia="Arial" w:hAnsi="Arial" w:cs="Arial"/>
          <w:color w:val="000000"/>
          <w:sz w:val="20"/>
          <w:szCs w:val="20"/>
        </w:rPr>
        <w:t>Ciclo de vida de la emisión de gases de efecto invernadero y evaluación del ciclo de vida </w:t>
      </w:r>
    </w:p>
    <w:p w14:paraId="3028E9AA" w14:textId="77777777" w:rsidR="00BE6367" w:rsidRDefault="00C90F6A">
      <w:pPr>
        <w:numPr>
          <w:ilvl w:val="0"/>
          <w:numId w:val="64"/>
        </w:numPr>
        <w:shd w:val="clear" w:color="auto" w:fill="FFFFFF"/>
        <w:spacing w:after="0"/>
        <w:jc w:val="both"/>
        <w:rPr>
          <w:rFonts w:ascii="Arial" w:eastAsia="Arial" w:hAnsi="Arial" w:cs="Arial"/>
          <w:color w:val="000000"/>
        </w:rPr>
      </w:pPr>
      <w:r>
        <w:rPr>
          <w:rFonts w:ascii="Arial" w:eastAsia="Arial" w:hAnsi="Arial" w:cs="Arial"/>
          <w:color w:val="000000"/>
          <w:sz w:val="20"/>
          <w:szCs w:val="20"/>
        </w:rPr>
        <w:t>Divulgación y aseguramiento de la huella de carbono del producto </w:t>
      </w:r>
    </w:p>
    <w:p w14:paraId="2C98DD1A" w14:textId="77777777" w:rsidR="00BE6367" w:rsidRDefault="00C90F6A">
      <w:pPr>
        <w:numPr>
          <w:ilvl w:val="0"/>
          <w:numId w:val="64"/>
        </w:numPr>
        <w:shd w:val="clear" w:color="auto" w:fill="FFFFFF"/>
        <w:spacing w:after="0"/>
        <w:jc w:val="both"/>
        <w:rPr>
          <w:rFonts w:ascii="Arial" w:eastAsia="Arial" w:hAnsi="Arial" w:cs="Arial"/>
          <w:color w:val="000000"/>
        </w:rPr>
      </w:pPr>
      <w:r>
        <w:rPr>
          <w:rFonts w:ascii="Arial" w:eastAsia="Arial" w:hAnsi="Arial" w:cs="Arial"/>
          <w:color w:val="000000"/>
          <w:sz w:val="20"/>
          <w:szCs w:val="20"/>
        </w:rPr>
        <w:t>Inventario corporativo de gases de efecto invernadero </w:t>
      </w:r>
    </w:p>
    <w:p w14:paraId="7F66E6B7" w14:textId="77777777" w:rsidR="00BE6367" w:rsidRDefault="00C90F6A">
      <w:pPr>
        <w:numPr>
          <w:ilvl w:val="0"/>
          <w:numId w:val="64"/>
        </w:numPr>
        <w:shd w:val="clear" w:color="auto" w:fill="FFFFFF"/>
        <w:spacing w:after="0"/>
        <w:jc w:val="both"/>
        <w:rPr>
          <w:rFonts w:ascii="Arial" w:eastAsia="Arial" w:hAnsi="Arial" w:cs="Arial"/>
          <w:color w:val="000000"/>
        </w:rPr>
      </w:pPr>
      <w:r>
        <w:rPr>
          <w:rFonts w:ascii="Arial" w:eastAsia="Arial" w:hAnsi="Arial" w:cs="Arial"/>
          <w:color w:val="000000"/>
          <w:sz w:val="20"/>
          <w:szCs w:val="20"/>
        </w:rPr>
        <w:t>Objetivos de reducción de carbono alineados con la ciencia climática </w:t>
      </w:r>
    </w:p>
    <w:p w14:paraId="29ADE422" w14:textId="77777777" w:rsidR="00BE6367" w:rsidRDefault="00C90F6A">
      <w:pPr>
        <w:numPr>
          <w:ilvl w:val="0"/>
          <w:numId w:val="64"/>
        </w:numPr>
        <w:shd w:val="clear" w:color="auto" w:fill="FFFFFF"/>
        <w:jc w:val="both"/>
        <w:rPr>
          <w:rFonts w:ascii="Arial" w:eastAsia="Arial" w:hAnsi="Arial" w:cs="Arial"/>
          <w:color w:val="000000"/>
        </w:rPr>
      </w:pPr>
      <w:r>
        <w:rPr>
          <w:rFonts w:ascii="Arial" w:eastAsia="Arial" w:hAnsi="Arial" w:cs="Arial"/>
          <w:color w:val="000000"/>
          <w:sz w:val="20"/>
          <w:szCs w:val="20"/>
        </w:rPr>
        <w:t>Eficiencia energética en fabricación </w:t>
      </w:r>
    </w:p>
    <w:p w14:paraId="0F15A454" w14:textId="77777777" w:rsidR="00BE6367" w:rsidRDefault="00C90F6A">
      <w:pPr>
        <w:numPr>
          <w:ilvl w:val="0"/>
          <w:numId w:val="64"/>
        </w:numPr>
        <w:shd w:val="clear" w:color="auto" w:fill="FFFFFF"/>
        <w:jc w:val="both"/>
        <w:rPr>
          <w:rFonts w:ascii="Arial" w:eastAsia="Arial" w:hAnsi="Arial" w:cs="Arial"/>
          <w:color w:val="000000"/>
        </w:rPr>
      </w:pPr>
      <w:r>
        <w:rPr>
          <w:rFonts w:ascii="Arial" w:eastAsia="Arial" w:hAnsi="Arial" w:cs="Arial"/>
          <w:color w:val="000000"/>
          <w:sz w:val="20"/>
          <w:szCs w:val="20"/>
        </w:rPr>
        <w:lastRenderedPageBreak/>
        <w:t>Abastecimiento de electricidad renovable </w:t>
      </w:r>
    </w:p>
    <w:p w14:paraId="4C4DD1ED" w14:textId="77777777" w:rsidR="00BE6367" w:rsidRDefault="00C90F6A">
      <w:pPr>
        <w:numPr>
          <w:ilvl w:val="0"/>
          <w:numId w:val="64"/>
        </w:numPr>
        <w:shd w:val="clear" w:color="auto" w:fill="FFFFFF"/>
        <w:spacing w:after="0"/>
        <w:jc w:val="both"/>
        <w:rPr>
          <w:rFonts w:ascii="Calibri" w:eastAsia="Calibri" w:hAnsi="Calibri" w:cs="Calibri"/>
          <w:color w:val="000000"/>
        </w:rPr>
      </w:pPr>
      <w:r>
        <w:rPr>
          <w:rFonts w:ascii="Arial" w:eastAsia="Arial" w:hAnsi="Arial" w:cs="Arial"/>
          <w:color w:val="000000"/>
          <w:sz w:val="20"/>
          <w:szCs w:val="20"/>
        </w:rPr>
        <w:t>Productos químicos con alto potencial de calentamiento global en la fabricación (gases fluorados de efecto invernadero) </w:t>
      </w:r>
      <w:r>
        <w:rPr>
          <w:rFonts w:ascii="Arial" w:eastAsia="Arial" w:hAnsi="Arial" w:cs="Arial"/>
          <w:b/>
          <w:bCs/>
          <w:color w:val="000000"/>
          <w:sz w:val="20"/>
          <w:szCs w:val="20"/>
        </w:rPr>
        <w:t>F-GHG</w:t>
      </w:r>
      <w:r>
        <w:rPr>
          <w:rFonts w:ascii="Arial" w:eastAsia="Arial" w:hAnsi="Arial" w:cs="Arial"/>
          <w:color w:val="000000"/>
          <w:sz w:val="20"/>
          <w:szCs w:val="20"/>
        </w:rPr>
        <w:t> </w:t>
      </w:r>
    </w:p>
    <w:p w14:paraId="607B5FC4" w14:textId="77777777" w:rsidR="00BE6367" w:rsidRDefault="00C90F6A">
      <w:pPr>
        <w:numPr>
          <w:ilvl w:val="0"/>
          <w:numId w:val="64"/>
        </w:numPr>
        <w:shd w:val="clear" w:color="auto" w:fill="FFFFFF"/>
        <w:spacing w:after="0"/>
        <w:jc w:val="both"/>
        <w:rPr>
          <w:rFonts w:ascii="Arial" w:eastAsia="Arial" w:hAnsi="Arial" w:cs="Arial"/>
          <w:color w:val="000000"/>
        </w:rPr>
      </w:pPr>
      <w:r>
        <w:rPr>
          <w:rFonts w:ascii="Arial" w:eastAsia="Arial" w:hAnsi="Arial" w:cs="Arial"/>
          <w:color w:val="000000"/>
          <w:sz w:val="20"/>
          <w:szCs w:val="20"/>
        </w:rPr>
        <w:t>Eficiencia energética del producto </w:t>
      </w:r>
    </w:p>
    <w:p w14:paraId="7815C6E7" w14:textId="77777777" w:rsidR="00BE6367" w:rsidRDefault="00BE6367">
      <w:pPr>
        <w:shd w:val="clear" w:color="auto" w:fill="FFFFFF"/>
        <w:jc w:val="both"/>
        <w:rPr>
          <w:rFonts w:ascii="Arial" w:eastAsia="Arial" w:hAnsi="Arial" w:cs="Arial"/>
          <w:color w:val="000000"/>
          <w:sz w:val="20"/>
          <w:szCs w:val="20"/>
        </w:rPr>
      </w:pPr>
    </w:p>
    <w:p w14:paraId="767C90EA" w14:textId="77777777" w:rsidR="00BE6367" w:rsidRDefault="00C90F6A">
      <w:pPr>
        <w:pBdr>
          <w:top w:val="nil"/>
          <w:left w:val="nil"/>
          <w:bottom w:val="nil"/>
          <w:right w:val="nil"/>
          <w:between w:val="nil"/>
        </w:pBdr>
        <w:jc w:val="both"/>
        <w:rPr>
          <w:rFonts w:ascii="Arial" w:eastAsia="Arial" w:hAnsi="Arial" w:cs="Arial"/>
          <w:sz w:val="20"/>
          <w:szCs w:val="20"/>
        </w:rPr>
      </w:pPr>
      <w:r>
        <w:rPr>
          <w:rFonts w:ascii="Arial" w:eastAsia="Arial" w:hAnsi="Arial" w:cs="Arial"/>
          <w:b/>
          <w:bCs/>
          <w:sz w:val="20"/>
          <w:szCs w:val="20"/>
        </w:rPr>
        <w:t>RESPUESTA A OBSERVACIÓN:</w:t>
      </w:r>
    </w:p>
    <w:p w14:paraId="23D04ABC" w14:textId="77777777" w:rsidR="00BE6367" w:rsidRDefault="00C90F6A">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No se acepta la observación, toda vez que se precisa que la certificación EPEAT Climate+ ya se encuentra solicitada en la ficha técnica del producto, como parte de los requisitos ambientales definidos para el proceso.</w:t>
      </w:r>
    </w:p>
    <w:p w14:paraId="08CFCD2A" w14:textId="77777777" w:rsidR="00BE6367" w:rsidRDefault="00C90F6A">
      <w:pPr>
        <w:shd w:val="clear" w:color="auto" w:fill="FFFFFF"/>
        <w:jc w:val="both"/>
        <w:rPr>
          <w:rFonts w:ascii="Arial" w:eastAsia="Arial" w:hAnsi="Arial" w:cs="Arial"/>
          <w:color w:val="000000"/>
          <w:sz w:val="20"/>
          <w:szCs w:val="20"/>
        </w:rPr>
      </w:pPr>
      <w:r>
        <w:rPr>
          <w:rFonts w:ascii="Arial" w:eastAsia="Arial" w:hAnsi="Arial" w:cs="Arial"/>
          <w:b/>
          <w:bCs/>
          <w:color w:val="000000"/>
          <w:sz w:val="20"/>
          <w:szCs w:val="20"/>
        </w:rPr>
        <w:t>Estándar Militar//</w:t>
      </w:r>
      <w:r>
        <w:rPr>
          <w:rFonts w:ascii="Arial" w:eastAsia="Arial" w:hAnsi="Arial" w:cs="Arial"/>
          <w:color w:val="000000"/>
          <w:sz w:val="20"/>
          <w:szCs w:val="20"/>
        </w:rPr>
        <w:t> Sugerimos a la entidad solicitar pruebas de calidad y durabilidad como son las pruebas MIL-STD 810H las cuales son un conjunto de pruebas de ingeniería que permiten conocer los umbrales máximos de durabilidad de un equipo de cómputo a lo largo de toda su vida útil. La importancia de estas pruebas dentro de la oferta de equipos que responden a las necesidades del sector corporativo se asocia a definir una línea base mínima en términos de resistencia a golpes, potenciales caídos, torsiones, variaciones de temperatura, cambios de humedad en el ambiente, circulación de polvo o partículas que pueden ingresar en el chasis, vibración continua, entre otras. El objetivo de contar con cumplimiento de estas pruebas se traduce en una menor incidencia de casos de garantía, extender la vida útil del equipo de cómputo y aumentar la continuidad de la operación de los usuarios. Por esta razón solicita a la entidad incluir el cumplimiento de pruebas MIL-STD 810H puesto que todos los fabricantes las tenemos en la línea Corporativa de equipos.  </w:t>
      </w:r>
    </w:p>
    <w:p w14:paraId="26FE86F2" w14:textId="77777777" w:rsidR="00BE6367" w:rsidRDefault="00BE6367">
      <w:pPr>
        <w:shd w:val="clear" w:color="auto" w:fill="FFFFFF"/>
        <w:jc w:val="both"/>
        <w:rPr>
          <w:rFonts w:ascii="Arial" w:eastAsia="Arial" w:hAnsi="Arial" w:cs="Arial"/>
          <w:color w:val="000000"/>
          <w:sz w:val="20"/>
          <w:szCs w:val="20"/>
        </w:rPr>
      </w:pPr>
    </w:p>
    <w:p w14:paraId="0D8BBEB8" w14:textId="77777777" w:rsidR="00BE6367" w:rsidRDefault="00C90F6A">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b/>
          <w:bCs/>
          <w:sz w:val="20"/>
          <w:szCs w:val="20"/>
        </w:rPr>
        <w:t>RESPUESTA A OBSERVACIÓN:</w:t>
      </w:r>
    </w:p>
    <w:p w14:paraId="4520534A" w14:textId="77777777" w:rsidR="00BE6367" w:rsidRDefault="00BE6367">
      <w:pPr>
        <w:pBdr>
          <w:top w:val="nil"/>
          <w:left w:val="nil"/>
          <w:bottom w:val="nil"/>
          <w:right w:val="nil"/>
          <w:between w:val="nil"/>
        </w:pBdr>
        <w:spacing w:after="0"/>
        <w:jc w:val="both"/>
        <w:rPr>
          <w:rFonts w:ascii="Arial" w:eastAsia="Arial" w:hAnsi="Arial" w:cs="Arial"/>
          <w:sz w:val="20"/>
          <w:szCs w:val="20"/>
        </w:rPr>
      </w:pPr>
    </w:p>
    <w:p w14:paraId="04280B70" w14:textId="77777777" w:rsidR="00BE6367" w:rsidRDefault="00C90F6A">
      <w:p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 xml:space="preserve">Se acepta la observación, en el entendido de que el requerimiento de cumplimiento de pruebas de estándar militar </w:t>
      </w:r>
      <w:r>
        <w:rPr>
          <w:rFonts w:ascii="Arial" w:eastAsia="Arial" w:hAnsi="Arial" w:cs="Arial"/>
          <w:b/>
          <w:bCs/>
          <w:color w:val="000000"/>
          <w:sz w:val="20"/>
          <w:szCs w:val="20"/>
        </w:rPr>
        <w:t>MIL-STD 810H</w:t>
      </w:r>
      <w:r>
        <w:rPr>
          <w:rFonts w:ascii="Arial" w:eastAsia="Arial" w:hAnsi="Arial" w:cs="Arial"/>
          <w:color w:val="000000"/>
          <w:sz w:val="20"/>
          <w:szCs w:val="20"/>
        </w:rPr>
        <w:t xml:space="preserve"> aplicará únicamente para los equipos correspondientes al </w:t>
      </w:r>
      <w:r>
        <w:rPr>
          <w:rFonts w:ascii="Arial" w:eastAsia="Arial" w:hAnsi="Arial" w:cs="Arial"/>
          <w:b/>
          <w:bCs/>
          <w:color w:val="000000"/>
          <w:sz w:val="20"/>
          <w:szCs w:val="20"/>
        </w:rPr>
        <w:t xml:space="preserve">ítem 1 </w:t>
      </w:r>
      <w:r>
        <w:rPr>
          <w:rFonts w:ascii="Arial" w:eastAsia="Arial" w:hAnsi="Arial" w:cs="Arial"/>
          <w:color w:val="000000"/>
          <w:sz w:val="20"/>
          <w:szCs w:val="20"/>
        </w:rPr>
        <w:t>e</w:t>
      </w:r>
      <w:r>
        <w:rPr>
          <w:rFonts w:ascii="Arial" w:eastAsia="Arial" w:hAnsi="Arial" w:cs="Arial"/>
          <w:b/>
          <w:bCs/>
          <w:color w:val="000000"/>
          <w:sz w:val="20"/>
          <w:szCs w:val="20"/>
        </w:rPr>
        <w:t xml:space="preserve"> ítem 2</w:t>
      </w:r>
      <w:r>
        <w:rPr>
          <w:rFonts w:ascii="Arial" w:eastAsia="Arial" w:hAnsi="Arial" w:cs="Arial"/>
          <w:color w:val="000000"/>
          <w:sz w:val="20"/>
          <w:szCs w:val="20"/>
        </w:rPr>
        <w:t>, dado que son los únicos que estarán sujetos a condiciones de mayor volatilidad de uso, con posibilidad de ser transferidos y transportados en diferentes entornos.</w:t>
      </w:r>
    </w:p>
    <w:p w14:paraId="0F4B7B17" w14:textId="77777777" w:rsidR="00BE6367" w:rsidRDefault="00BE6367">
      <w:pPr>
        <w:pBdr>
          <w:top w:val="nil"/>
          <w:left w:val="nil"/>
          <w:bottom w:val="nil"/>
          <w:right w:val="nil"/>
          <w:between w:val="nil"/>
        </w:pBdr>
        <w:spacing w:after="0"/>
        <w:jc w:val="both"/>
        <w:rPr>
          <w:rFonts w:ascii="Arial" w:eastAsia="Arial" w:hAnsi="Arial" w:cs="Arial"/>
          <w:sz w:val="20"/>
          <w:szCs w:val="20"/>
        </w:rPr>
      </w:pPr>
    </w:p>
    <w:p w14:paraId="5DBDEC0F" w14:textId="77777777" w:rsidR="00BE6367" w:rsidRDefault="00C90F6A">
      <w:p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 xml:space="preserve">Para los demás perfiles de equipos de cómputo, no resulta necesario exigir este estándar, toda vez que no están destinados a operar en ambientes de alta exigencia ambiental ni bajo condiciones de manejo pesado. </w:t>
      </w:r>
    </w:p>
    <w:p w14:paraId="5A15D8F5" w14:textId="77777777" w:rsidR="00BE6367" w:rsidRDefault="00BE6367">
      <w:pPr>
        <w:shd w:val="clear" w:color="auto" w:fill="FFFFFF"/>
        <w:jc w:val="both"/>
        <w:rPr>
          <w:rFonts w:ascii="Arial" w:eastAsia="Arial" w:hAnsi="Arial" w:cs="Arial"/>
          <w:sz w:val="20"/>
          <w:szCs w:val="20"/>
        </w:rPr>
      </w:pPr>
    </w:p>
    <w:p w14:paraId="13312339" w14:textId="77777777" w:rsidR="00BE6367" w:rsidRDefault="00C90F6A">
      <w:pPr>
        <w:shd w:val="clear" w:color="auto" w:fill="FFFFFF"/>
        <w:jc w:val="both"/>
        <w:rPr>
          <w:rFonts w:ascii="Arial" w:eastAsia="Arial" w:hAnsi="Arial" w:cs="Arial"/>
          <w:color w:val="242424"/>
          <w:sz w:val="20"/>
          <w:szCs w:val="20"/>
        </w:rPr>
      </w:pPr>
      <w:r>
        <w:rPr>
          <w:rFonts w:ascii="Arial" w:eastAsia="Arial" w:hAnsi="Arial" w:cs="Arial"/>
          <w:color w:val="000000"/>
          <w:sz w:val="20"/>
          <w:szCs w:val="20"/>
        </w:rPr>
        <w:t>Para las AIO</w:t>
      </w:r>
    </w:p>
    <w:p w14:paraId="5F20EA9E" w14:textId="77777777" w:rsidR="00BE6367" w:rsidRDefault="00C90F6A">
      <w:pPr>
        <w:shd w:val="clear" w:color="auto" w:fill="FFFFFF"/>
        <w:jc w:val="both"/>
        <w:rPr>
          <w:rFonts w:ascii="Arial" w:eastAsia="Arial" w:hAnsi="Arial" w:cs="Arial"/>
          <w:color w:val="242424"/>
          <w:sz w:val="20"/>
          <w:szCs w:val="20"/>
        </w:rPr>
      </w:pPr>
      <w:r>
        <w:rPr>
          <w:rFonts w:ascii="Arial" w:eastAsia="Arial" w:hAnsi="Arial" w:cs="Arial"/>
          <w:color w:val="000000"/>
          <w:sz w:val="20"/>
          <w:szCs w:val="20"/>
        </w:rPr>
        <w:t> </w:t>
      </w:r>
      <w:r>
        <w:rPr>
          <w:rFonts w:ascii="Arial" w:eastAsia="Arial" w:hAnsi="Arial" w:cs="Arial"/>
          <w:b/>
          <w:bCs/>
          <w:color w:val="000000"/>
          <w:sz w:val="20"/>
          <w:szCs w:val="20"/>
        </w:rPr>
        <w:t>Procesador// </w:t>
      </w:r>
      <w:r>
        <w:rPr>
          <w:rFonts w:ascii="Arial" w:eastAsia="Arial" w:hAnsi="Arial" w:cs="Arial"/>
          <w:color w:val="000000"/>
          <w:sz w:val="20"/>
          <w:szCs w:val="20"/>
        </w:rPr>
        <w:t>Se solicita a la entidad permita la oferta de plataformas con procesadores que cuenta con mínimo las siguientes características velocidad turbo de performance mínimo 5.0 Ghz de frecuencia, con mínimo 14 cores físicos de cómputo (núcleos), 14 subprocesos y arquitectura de 64 bits.</w:t>
      </w:r>
      <w:r>
        <w:rPr>
          <w:rFonts w:ascii="Arial" w:eastAsia="Arial" w:hAnsi="Arial" w:cs="Arial"/>
          <w:color w:val="000000"/>
          <w:sz w:val="20"/>
          <w:szCs w:val="20"/>
        </w:rPr>
        <w:br/>
        <w:t>La cache del procesador en nivel 2 debe ser de mínimo 24MB. Esta son características que permiten mantener el desempeño del uso y cubrir las necesidades que se tienen actualmente en la entidad. El aceptar estos requerimientos como mínimos cumplibles no van en detrimento de la entidad y no significa una desmejora tecnológica. </w:t>
      </w:r>
    </w:p>
    <w:p w14:paraId="0CD58FFC" w14:textId="77777777" w:rsidR="00BE6367" w:rsidRDefault="00C90F6A">
      <w:pPr>
        <w:shd w:val="clear" w:color="auto" w:fill="FFFFFF"/>
        <w:jc w:val="both"/>
        <w:rPr>
          <w:rFonts w:ascii="Arial" w:eastAsia="Arial" w:hAnsi="Arial" w:cs="Arial"/>
          <w:color w:val="242424"/>
          <w:sz w:val="20"/>
          <w:szCs w:val="20"/>
        </w:rPr>
      </w:pPr>
      <w:r>
        <w:rPr>
          <w:rFonts w:ascii="Arial" w:eastAsia="Arial" w:hAnsi="Arial" w:cs="Arial"/>
          <w:color w:val="000000"/>
          <w:sz w:val="20"/>
          <w:szCs w:val="20"/>
        </w:rPr>
        <w:t> Administración</w:t>
      </w:r>
    </w:p>
    <w:p w14:paraId="78016F31" w14:textId="77777777" w:rsidR="00BE6367" w:rsidRDefault="00C90F6A">
      <w:pPr>
        <w:numPr>
          <w:ilvl w:val="0"/>
          <w:numId w:val="65"/>
        </w:numPr>
        <w:shd w:val="clear" w:color="auto" w:fill="FFFFFF"/>
        <w:spacing w:after="0"/>
        <w:jc w:val="both"/>
        <w:rPr>
          <w:rFonts w:ascii="Arial" w:eastAsia="Arial" w:hAnsi="Arial" w:cs="Arial"/>
          <w:color w:val="000000"/>
        </w:rPr>
      </w:pPr>
      <w:r>
        <w:rPr>
          <w:rFonts w:ascii="Arial" w:eastAsia="Arial" w:hAnsi="Arial" w:cs="Arial"/>
          <w:color w:val="000000"/>
          <w:sz w:val="20"/>
          <w:szCs w:val="20"/>
        </w:rPr>
        <w:t xml:space="preserve">Respecto al requerimiento de “integración con consolas de gestión, soluciones EDR/XDR y herramientas de orquestación existentes”, solicitamos a la entidad aclarar si brindará el acompañamiento técnico, acceso a la información y soporte necesarios para llevar a cabo dicha integración. Lo anterior, considerando que se trata de </w:t>
      </w:r>
      <w:r>
        <w:rPr>
          <w:rFonts w:ascii="Arial" w:eastAsia="Arial" w:hAnsi="Arial" w:cs="Arial"/>
          <w:color w:val="000000"/>
          <w:sz w:val="20"/>
          <w:szCs w:val="20"/>
        </w:rPr>
        <w:lastRenderedPageBreak/>
        <w:t>plataformas previamente implementadas, cuyas arquitecturas, versiones, API´s, conectores, políticas de seguridad y mecanismos de interoperabilidad pueden variar significativamente entre fabricantes y entornos tecnológicos.</w:t>
      </w:r>
    </w:p>
    <w:p w14:paraId="6A1390ED" w14:textId="77777777" w:rsidR="00BE6367" w:rsidRDefault="00C90F6A">
      <w:pPr>
        <w:numPr>
          <w:ilvl w:val="0"/>
          <w:numId w:val="65"/>
        </w:numPr>
        <w:shd w:val="clear" w:color="auto" w:fill="FFFFFF"/>
        <w:spacing w:after="0"/>
        <w:jc w:val="both"/>
        <w:rPr>
          <w:rFonts w:ascii="Arial" w:eastAsia="Arial" w:hAnsi="Arial" w:cs="Arial"/>
          <w:color w:val="000000"/>
        </w:rPr>
      </w:pPr>
      <w:r>
        <w:rPr>
          <w:rFonts w:ascii="Arial" w:eastAsia="Arial" w:hAnsi="Arial" w:cs="Arial"/>
          <w:color w:val="000000"/>
          <w:sz w:val="20"/>
          <w:szCs w:val="20"/>
        </w:rPr>
        <w:t>Es importante señalar que este tipo de integraciones normalmente no se realiza de forma automática ni estandarizada, sino que requiere un proceso previo de levantamiento de información, análisis de compatibilidad, definición de requerimientos funcionales y técnicos, validación de interfaces de comunicación y pruebas de interoperabilidad. Solo a partir de este ejercicio es posible diseñar e implementar una integración que garantice un funcionamiento adecuado y alineado con las necesidades operativas de la entidad.</w:t>
      </w:r>
    </w:p>
    <w:p w14:paraId="0BABC41E" w14:textId="77777777" w:rsidR="00BE6367" w:rsidRDefault="00C90F6A">
      <w:pPr>
        <w:numPr>
          <w:ilvl w:val="0"/>
          <w:numId w:val="65"/>
        </w:numPr>
        <w:shd w:val="clear" w:color="auto" w:fill="FFFFFF"/>
        <w:spacing w:after="0"/>
        <w:jc w:val="both"/>
        <w:rPr>
          <w:rFonts w:ascii="Arial" w:eastAsia="Arial" w:hAnsi="Arial" w:cs="Arial"/>
          <w:color w:val="000000"/>
        </w:rPr>
      </w:pPr>
      <w:r>
        <w:rPr>
          <w:rFonts w:ascii="Arial" w:eastAsia="Arial" w:hAnsi="Arial" w:cs="Arial"/>
          <w:color w:val="000000"/>
          <w:sz w:val="20"/>
          <w:szCs w:val="20"/>
        </w:rPr>
        <w:t>En consecuencia, se solicita precisar el alcance esperado de la integración y confirmar que la entidad proporcionará el acceso, la documentación técnica, las credenciales, los ambientes de prueba y el acompañamiento requerido para el desarrollo y validación de dichas integraciones, con el fin de asegurar una implementación exitosa y evitar riesgos asociados a restricciones o limitaciones propias de las plataformas existentes.</w:t>
      </w:r>
    </w:p>
    <w:p w14:paraId="578F7B94" w14:textId="77777777" w:rsidR="00BE6367" w:rsidRDefault="00BE6367">
      <w:pPr>
        <w:pBdr>
          <w:top w:val="nil"/>
          <w:left w:val="nil"/>
          <w:bottom w:val="nil"/>
          <w:right w:val="nil"/>
          <w:between w:val="nil"/>
        </w:pBdr>
        <w:spacing w:after="0"/>
        <w:ind w:left="360"/>
        <w:jc w:val="both"/>
        <w:rPr>
          <w:rFonts w:ascii="Arial" w:eastAsia="Arial" w:hAnsi="Arial" w:cs="Arial"/>
          <w:color w:val="000000"/>
          <w:sz w:val="20"/>
          <w:szCs w:val="20"/>
        </w:rPr>
      </w:pPr>
    </w:p>
    <w:p w14:paraId="3684BDF3" w14:textId="77777777" w:rsidR="00BE6367" w:rsidRDefault="00C90F6A">
      <w:pPr>
        <w:pBdr>
          <w:top w:val="nil"/>
          <w:left w:val="nil"/>
          <w:bottom w:val="nil"/>
          <w:right w:val="nil"/>
          <w:between w:val="nil"/>
        </w:pBdr>
        <w:spacing w:after="0"/>
        <w:ind w:left="360"/>
        <w:jc w:val="both"/>
        <w:rPr>
          <w:rFonts w:ascii="Arial" w:eastAsia="Arial" w:hAnsi="Arial" w:cs="Arial"/>
          <w:color w:val="000000"/>
          <w:sz w:val="20"/>
          <w:szCs w:val="20"/>
        </w:rPr>
      </w:pPr>
      <w:r>
        <w:rPr>
          <w:rFonts w:ascii="Arial" w:eastAsia="Arial" w:hAnsi="Arial" w:cs="Arial"/>
          <w:b/>
          <w:bCs/>
          <w:sz w:val="20"/>
          <w:szCs w:val="20"/>
        </w:rPr>
        <w:t>RESPUESTA A OBSERVACIÓN:</w:t>
      </w:r>
      <w:r>
        <w:rPr>
          <w:rFonts w:ascii="Arial" w:eastAsia="Arial" w:hAnsi="Arial" w:cs="Arial"/>
          <w:color w:val="000000"/>
          <w:sz w:val="20"/>
          <w:szCs w:val="20"/>
        </w:rPr>
        <w:t xml:space="preserve"> </w:t>
      </w:r>
    </w:p>
    <w:p w14:paraId="1D77DD4F" w14:textId="77777777" w:rsidR="00BE6367" w:rsidRDefault="00BE6367">
      <w:pPr>
        <w:pBdr>
          <w:top w:val="nil"/>
          <w:left w:val="nil"/>
          <w:bottom w:val="nil"/>
          <w:right w:val="nil"/>
          <w:between w:val="nil"/>
        </w:pBdr>
        <w:spacing w:after="0"/>
        <w:ind w:left="360"/>
        <w:jc w:val="both"/>
        <w:rPr>
          <w:rFonts w:ascii="Arial" w:eastAsia="Arial" w:hAnsi="Arial" w:cs="Arial"/>
          <w:sz w:val="20"/>
          <w:szCs w:val="20"/>
        </w:rPr>
      </w:pPr>
    </w:p>
    <w:p w14:paraId="1A71E4DC" w14:textId="77777777" w:rsidR="00BE6367" w:rsidRDefault="00C90F6A">
      <w:pPr>
        <w:pBdr>
          <w:top w:val="nil"/>
          <w:left w:val="nil"/>
          <w:bottom w:val="nil"/>
          <w:right w:val="nil"/>
          <w:between w:val="nil"/>
        </w:pBdr>
        <w:spacing w:after="0"/>
        <w:ind w:left="360"/>
        <w:jc w:val="both"/>
        <w:rPr>
          <w:rFonts w:ascii="Arial" w:eastAsia="Arial" w:hAnsi="Arial" w:cs="Arial"/>
          <w:color w:val="000000"/>
          <w:sz w:val="20"/>
          <w:szCs w:val="20"/>
        </w:rPr>
      </w:pPr>
      <w:r>
        <w:rPr>
          <w:rFonts w:ascii="Arial" w:eastAsia="Arial" w:hAnsi="Arial" w:cs="Arial"/>
          <w:color w:val="000000"/>
          <w:sz w:val="20"/>
          <w:szCs w:val="20"/>
        </w:rPr>
        <w:t>No se acoge la observación. Las características solicitadas corresponden a los parámetros mínimos definidos en la ficha técnica, necesarios para garantizar el nivel de desempeño requerido por la Entidad en el desarrollo de sus labores. Se precisa que podrán admitirse equipos con especificaciones superiores, siempre que cumplan con dichos mínimos, asegurando así funcionalidad, confiabilidad y vigencia tecnológica.</w:t>
      </w:r>
    </w:p>
    <w:p w14:paraId="1E659880" w14:textId="77777777" w:rsidR="00BE6367" w:rsidRDefault="00BE6367">
      <w:pPr>
        <w:pBdr>
          <w:top w:val="nil"/>
          <w:left w:val="nil"/>
          <w:bottom w:val="nil"/>
          <w:right w:val="nil"/>
          <w:between w:val="nil"/>
        </w:pBdr>
        <w:spacing w:after="0"/>
        <w:ind w:left="360"/>
        <w:jc w:val="both"/>
        <w:rPr>
          <w:rFonts w:ascii="Arial" w:eastAsia="Arial" w:hAnsi="Arial" w:cs="Arial"/>
          <w:color w:val="000000"/>
          <w:sz w:val="20"/>
          <w:szCs w:val="20"/>
        </w:rPr>
      </w:pPr>
    </w:p>
    <w:p w14:paraId="3A983267" w14:textId="77777777" w:rsidR="00BE6367" w:rsidRDefault="00C90F6A">
      <w:pPr>
        <w:pBdr>
          <w:top w:val="nil"/>
          <w:left w:val="nil"/>
          <w:bottom w:val="nil"/>
          <w:right w:val="nil"/>
          <w:between w:val="nil"/>
        </w:pBdr>
        <w:ind w:left="360"/>
        <w:jc w:val="both"/>
        <w:rPr>
          <w:rFonts w:ascii="Arial" w:eastAsia="Arial" w:hAnsi="Arial" w:cs="Arial"/>
          <w:color w:val="000000"/>
          <w:sz w:val="20"/>
          <w:szCs w:val="20"/>
        </w:rPr>
      </w:pPr>
      <w:r>
        <w:rPr>
          <w:rFonts w:ascii="Arial" w:eastAsia="Arial" w:hAnsi="Arial" w:cs="Arial"/>
          <w:color w:val="000000"/>
          <w:sz w:val="20"/>
          <w:szCs w:val="20"/>
        </w:rPr>
        <w:t>Se aclara que, respecto al requerimiento de integración con consolas de gestión, soluciones EDR/XDR y herramientas de orquestación existentes, la Entidad dispondrá de la supervisión y acompañamiento técnico necesarios para el adecuado desarrollo de la integración. Dicho proceso se realizará con acceso a la información pertinente y bajo la coordinación de la supervisión designada, garantizando que la validación se lleve a cabo conforme a las arquitecturas y mecanismos previamente implementados.</w:t>
      </w:r>
    </w:p>
    <w:p w14:paraId="7BD27354" w14:textId="77777777" w:rsidR="00BE6367" w:rsidRDefault="00BE6367">
      <w:pPr>
        <w:shd w:val="clear" w:color="auto" w:fill="FFFFFF"/>
        <w:jc w:val="both"/>
        <w:rPr>
          <w:rFonts w:ascii="Arial" w:eastAsia="Arial" w:hAnsi="Arial" w:cs="Arial"/>
          <w:color w:val="242424"/>
          <w:sz w:val="20"/>
          <w:szCs w:val="20"/>
        </w:rPr>
      </w:pPr>
    </w:p>
    <w:p w14:paraId="539F5C85" w14:textId="77777777" w:rsidR="00BE6367" w:rsidRDefault="00C90F6A">
      <w:pPr>
        <w:shd w:val="clear" w:color="auto" w:fill="FFFFFF"/>
        <w:jc w:val="both"/>
        <w:rPr>
          <w:rFonts w:ascii="Arial" w:eastAsia="Arial" w:hAnsi="Arial" w:cs="Arial"/>
          <w:b/>
          <w:bCs/>
          <w:color w:val="000000"/>
          <w:sz w:val="20"/>
          <w:szCs w:val="20"/>
        </w:rPr>
      </w:pPr>
      <w:r>
        <w:rPr>
          <w:rFonts w:ascii="Arial" w:eastAsia="Arial" w:hAnsi="Arial" w:cs="Arial"/>
          <w:b/>
          <w:bCs/>
          <w:color w:val="000000"/>
          <w:sz w:val="20"/>
          <w:szCs w:val="20"/>
        </w:rPr>
        <w:t> OBSERVACIÓN #4</w:t>
      </w:r>
    </w:p>
    <w:p w14:paraId="23AD2FA9" w14:textId="77777777" w:rsidR="00BE6367" w:rsidRDefault="00BE6367">
      <w:pPr>
        <w:shd w:val="clear" w:color="auto" w:fill="FFFFFF"/>
        <w:jc w:val="both"/>
        <w:rPr>
          <w:rFonts w:ascii="Arial" w:eastAsia="Arial" w:hAnsi="Arial" w:cs="Arial"/>
          <w:color w:val="000000"/>
          <w:sz w:val="20"/>
          <w:szCs w:val="20"/>
        </w:rPr>
      </w:pPr>
    </w:p>
    <w:p w14:paraId="460A3BF6" w14:textId="77777777" w:rsidR="00BE6367" w:rsidRDefault="00C90F6A">
      <w:pPr>
        <w:jc w:val="both"/>
        <w:rPr>
          <w:rFonts w:ascii="Arial" w:eastAsia="Arial" w:hAnsi="Arial" w:cs="Arial"/>
          <w:sz w:val="20"/>
          <w:szCs w:val="20"/>
        </w:rPr>
      </w:pPr>
      <w:r>
        <w:rPr>
          <w:rFonts w:ascii="Arial" w:eastAsia="Arial" w:hAnsi="Arial" w:cs="Arial"/>
          <w:sz w:val="20"/>
          <w:szCs w:val="20"/>
        </w:rPr>
        <w:t>En el caso puntual de la solución audiovisual que solicita la entidad se deben considerar los siguientes aspectos:</w:t>
      </w:r>
    </w:p>
    <w:p w14:paraId="11AB36D8" w14:textId="77777777" w:rsidR="00BE6367" w:rsidRDefault="00C90F6A">
      <w:pPr>
        <w:shd w:val="clear" w:color="auto" w:fill="FFFFFF"/>
        <w:ind w:left="720"/>
        <w:jc w:val="both"/>
        <w:rPr>
          <w:rFonts w:ascii="Arial" w:eastAsia="Arial" w:hAnsi="Arial" w:cs="Arial"/>
          <w:color w:val="242424"/>
          <w:sz w:val="20"/>
          <w:szCs w:val="20"/>
        </w:rPr>
      </w:pPr>
      <w:r>
        <w:rPr>
          <w:rFonts w:ascii="Arial" w:eastAsia="Arial" w:hAnsi="Arial" w:cs="Arial"/>
          <w:color w:val="242424"/>
          <w:sz w:val="20"/>
          <w:szCs w:val="20"/>
        </w:rPr>
        <w:t> </w:t>
      </w:r>
    </w:p>
    <w:p w14:paraId="7063B436" w14:textId="77777777" w:rsidR="00BE6367" w:rsidRDefault="00C90F6A">
      <w:pPr>
        <w:numPr>
          <w:ilvl w:val="0"/>
          <w:numId w:val="66"/>
        </w:numPr>
        <w:spacing w:after="0" w:line="240" w:lineRule="auto"/>
        <w:jc w:val="both"/>
        <w:rPr>
          <w:rFonts w:ascii="Arial" w:eastAsia="Arial" w:hAnsi="Arial" w:cs="Arial"/>
          <w:sz w:val="20"/>
          <w:szCs w:val="20"/>
        </w:rPr>
      </w:pPr>
      <w:r>
        <w:rPr>
          <w:rFonts w:ascii="Arial" w:eastAsia="Arial" w:hAnsi="Arial" w:cs="Arial"/>
          <w:sz w:val="20"/>
          <w:szCs w:val="20"/>
        </w:rPr>
        <w:t>Se requiere una visita a sitio para poder dimensionar el alcance de servicios y considerar todo lo necesario para dar cumplimiento al RFP que plantea la entidad</w:t>
      </w:r>
    </w:p>
    <w:p w14:paraId="3C058137" w14:textId="77777777" w:rsidR="00BE6367" w:rsidRDefault="00C90F6A">
      <w:pPr>
        <w:numPr>
          <w:ilvl w:val="0"/>
          <w:numId w:val="66"/>
        </w:numPr>
        <w:spacing w:after="0" w:line="240" w:lineRule="auto"/>
        <w:jc w:val="both"/>
        <w:rPr>
          <w:rFonts w:ascii="Arial" w:eastAsia="Arial" w:hAnsi="Arial" w:cs="Arial"/>
          <w:sz w:val="20"/>
          <w:szCs w:val="20"/>
        </w:rPr>
      </w:pPr>
      <w:r>
        <w:rPr>
          <w:rFonts w:ascii="Arial" w:eastAsia="Arial" w:hAnsi="Arial" w:cs="Arial"/>
          <w:sz w:val="20"/>
          <w:szCs w:val="20"/>
        </w:rPr>
        <w:t>Es necesario delimitar el alcance de la solución de automatización de las salas (requiere visita y reunión de entendimiento)</w:t>
      </w:r>
    </w:p>
    <w:p w14:paraId="3A3AEFBA" w14:textId="77777777" w:rsidR="00BE6367" w:rsidRDefault="00C90F6A">
      <w:pPr>
        <w:numPr>
          <w:ilvl w:val="0"/>
          <w:numId w:val="66"/>
        </w:numPr>
        <w:spacing w:after="0" w:line="240" w:lineRule="auto"/>
        <w:jc w:val="both"/>
        <w:rPr>
          <w:rFonts w:ascii="Arial" w:eastAsia="Arial" w:hAnsi="Arial" w:cs="Arial"/>
          <w:sz w:val="20"/>
          <w:szCs w:val="20"/>
        </w:rPr>
      </w:pPr>
      <w:r>
        <w:rPr>
          <w:rFonts w:ascii="Arial" w:eastAsia="Arial" w:hAnsi="Arial" w:cs="Arial"/>
          <w:sz w:val="20"/>
          <w:szCs w:val="20"/>
        </w:rPr>
        <w:t>Experiencia específica: Presentar contratos/certificaciones finalizados a la fecha de presentación de los documentos en el cual certifique que ha realizado al menos una implementación en los últimos cinco (5) años de plataformas de software de gestión de audiencias o sesiones en entidades públicas, judiciales, legislativas o corporativas.  Esto NO LO CUMPLIMOS.</w:t>
      </w:r>
    </w:p>
    <w:p w14:paraId="020B76C2" w14:textId="77777777" w:rsidR="00BE6367" w:rsidRDefault="00C90F6A">
      <w:pPr>
        <w:numPr>
          <w:ilvl w:val="0"/>
          <w:numId w:val="66"/>
        </w:numPr>
        <w:spacing w:after="0" w:line="240" w:lineRule="auto"/>
        <w:jc w:val="both"/>
        <w:rPr>
          <w:rFonts w:ascii="Arial" w:eastAsia="Arial" w:hAnsi="Arial" w:cs="Arial"/>
          <w:sz w:val="20"/>
          <w:szCs w:val="20"/>
        </w:rPr>
      </w:pPr>
      <w:r>
        <w:rPr>
          <w:rFonts w:ascii="Arial" w:eastAsia="Arial" w:hAnsi="Arial" w:cs="Arial"/>
          <w:sz w:val="20"/>
          <w:szCs w:val="20"/>
        </w:rPr>
        <w:t>Certificaciones Fabricante: Que el comitente vendedor está autorizado para la comercialización, instalación, configuración y soporte técnico de los equipos: Solución completa de video (item 38) y altavoz profesional (item 37) NO LO CUMPLIMOS</w:t>
      </w:r>
    </w:p>
    <w:p w14:paraId="0CD7AF32" w14:textId="77777777" w:rsidR="00BE6367" w:rsidRDefault="00C90F6A">
      <w:pPr>
        <w:numPr>
          <w:ilvl w:val="0"/>
          <w:numId w:val="66"/>
        </w:numPr>
        <w:spacing w:after="0" w:line="240" w:lineRule="auto"/>
        <w:jc w:val="both"/>
        <w:rPr>
          <w:rFonts w:ascii="Arial" w:eastAsia="Arial" w:hAnsi="Arial" w:cs="Arial"/>
          <w:sz w:val="20"/>
          <w:szCs w:val="20"/>
        </w:rPr>
      </w:pPr>
      <w:r>
        <w:rPr>
          <w:rFonts w:ascii="Arial" w:eastAsia="Arial" w:hAnsi="Arial" w:cs="Arial"/>
          <w:sz w:val="20"/>
          <w:szCs w:val="20"/>
        </w:rPr>
        <w:t>Que el comitente vendedor está autorizado para la venta, instalación, configuración, integración y soporte técnico de los equipos: Unidad central de conferencia (item 39), micrófono 50 cm (item 40) , unidad de presidente (item 41), unidad de delegado (item 42) NO LO CUMPLIMOS</w:t>
      </w:r>
    </w:p>
    <w:p w14:paraId="4968C5EA" w14:textId="77777777" w:rsidR="00BE6367" w:rsidRDefault="00C90F6A">
      <w:pPr>
        <w:numPr>
          <w:ilvl w:val="0"/>
          <w:numId w:val="66"/>
        </w:numPr>
        <w:spacing w:after="0" w:line="240" w:lineRule="auto"/>
        <w:jc w:val="both"/>
        <w:rPr>
          <w:rFonts w:ascii="Arial" w:eastAsia="Arial" w:hAnsi="Arial" w:cs="Arial"/>
          <w:sz w:val="20"/>
          <w:szCs w:val="20"/>
        </w:rPr>
      </w:pPr>
      <w:r>
        <w:rPr>
          <w:rFonts w:ascii="Arial" w:eastAsia="Arial" w:hAnsi="Arial" w:cs="Arial"/>
          <w:sz w:val="20"/>
          <w:szCs w:val="20"/>
        </w:rPr>
        <w:lastRenderedPageBreak/>
        <w:t>Que el comitente vendedor cuenta con personal técnico certificado por el fabricante en la instalación, configuración, integración y mantenimiento de los equipos: Unidad central de conferencia (item 39), micrófono 50 cm (item 40) , unidad de presidente (item 41), unidad de delegado (item 42) NO LO CUMPLIMOS</w:t>
      </w:r>
    </w:p>
    <w:p w14:paraId="537D8E0B" w14:textId="77777777" w:rsidR="00BE6367" w:rsidRDefault="00C90F6A">
      <w:pPr>
        <w:numPr>
          <w:ilvl w:val="0"/>
          <w:numId w:val="66"/>
        </w:numPr>
        <w:spacing w:after="0" w:line="240" w:lineRule="auto"/>
        <w:jc w:val="both"/>
        <w:rPr>
          <w:rFonts w:ascii="Arial" w:eastAsia="Arial" w:hAnsi="Arial" w:cs="Arial"/>
          <w:sz w:val="20"/>
          <w:szCs w:val="20"/>
        </w:rPr>
      </w:pPr>
      <w:r>
        <w:rPr>
          <w:rFonts w:ascii="Arial" w:eastAsia="Arial" w:hAnsi="Arial" w:cs="Arial"/>
          <w:sz w:val="20"/>
          <w:szCs w:val="20"/>
        </w:rPr>
        <w:t>Adicionalmente, para garantizar la experiencia del personal técnico en las soluciones de video profesional,  El comitente vendedor deberá presentar certificación del fabricante de la solución de los items (34) Cámara PTZ y item (35) SOLUCIÓN DE CONMUTACIÓN MULTICÁMARA  que acredite a un profesional que haga parte de su empresa en:</w:t>
      </w:r>
    </w:p>
    <w:p w14:paraId="12BF2A12" w14:textId="77777777" w:rsidR="00BE6367" w:rsidRDefault="00C90F6A">
      <w:pPr>
        <w:numPr>
          <w:ilvl w:val="1"/>
          <w:numId w:val="66"/>
        </w:numPr>
        <w:spacing w:after="0" w:line="240" w:lineRule="auto"/>
        <w:jc w:val="both"/>
        <w:rPr>
          <w:rFonts w:ascii="Arial" w:eastAsia="Arial" w:hAnsi="Arial" w:cs="Arial"/>
          <w:sz w:val="20"/>
          <w:szCs w:val="20"/>
        </w:rPr>
      </w:pPr>
      <w:r>
        <w:rPr>
          <w:rFonts w:ascii="Arial" w:eastAsia="Arial" w:hAnsi="Arial" w:cs="Arial"/>
          <w:sz w:val="20"/>
          <w:szCs w:val="20"/>
        </w:rPr>
        <w:t>Competencias en el diseño de soluciones de video inteligente.</w:t>
      </w:r>
    </w:p>
    <w:p w14:paraId="4ABDA17F" w14:textId="77777777" w:rsidR="00BE6367" w:rsidRDefault="00C90F6A">
      <w:pPr>
        <w:numPr>
          <w:ilvl w:val="1"/>
          <w:numId w:val="66"/>
        </w:numPr>
        <w:spacing w:after="0" w:line="240" w:lineRule="auto"/>
        <w:jc w:val="both"/>
        <w:rPr>
          <w:rFonts w:ascii="Arial" w:eastAsia="Arial" w:hAnsi="Arial" w:cs="Arial"/>
          <w:sz w:val="20"/>
          <w:szCs w:val="20"/>
        </w:rPr>
      </w:pPr>
      <w:r>
        <w:rPr>
          <w:rFonts w:ascii="Arial" w:eastAsia="Arial" w:hAnsi="Arial" w:cs="Arial"/>
          <w:sz w:val="20"/>
          <w:szCs w:val="20"/>
        </w:rPr>
        <w:t>Competencias en la ingeniería de las soluciones de video inteligente.</w:t>
      </w:r>
    </w:p>
    <w:p w14:paraId="67E95E60" w14:textId="77777777" w:rsidR="00BE6367" w:rsidRDefault="00C90F6A">
      <w:pPr>
        <w:shd w:val="clear" w:color="auto" w:fill="FFFFFF"/>
        <w:ind w:left="720"/>
        <w:jc w:val="both"/>
        <w:rPr>
          <w:rFonts w:ascii="Arial" w:eastAsia="Arial" w:hAnsi="Arial" w:cs="Arial"/>
          <w:color w:val="242424"/>
          <w:sz w:val="20"/>
          <w:szCs w:val="20"/>
        </w:rPr>
      </w:pPr>
      <w:r>
        <w:rPr>
          <w:rFonts w:ascii="Arial" w:eastAsia="Arial" w:hAnsi="Arial" w:cs="Arial"/>
          <w:color w:val="242424"/>
          <w:sz w:val="20"/>
          <w:szCs w:val="20"/>
        </w:rPr>
        <w:t> </w:t>
      </w:r>
    </w:p>
    <w:p w14:paraId="7ED66F86" w14:textId="77777777" w:rsidR="00BE6367" w:rsidRDefault="00C90F6A">
      <w:pPr>
        <w:shd w:val="clear" w:color="auto" w:fill="FFFFFF"/>
        <w:ind w:left="720"/>
        <w:jc w:val="both"/>
        <w:rPr>
          <w:rFonts w:ascii="Arial" w:eastAsia="Arial" w:hAnsi="Arial" w:cs="Arial"/>
          <w:color w:val="242424"/>
          <w:sz w:val="20"/>
          <w:szCs w:val="20"/>
        </w:rPr>
      </w:pPr>
      <w:r>
        <w:rPr>
          <w:rFonts w:ascii="Arial" w:eastAsia="Arial" w:hAnsi="Arial" w:cs="Arial"/>
          <w:noProof/>
          <w:color w:val="242424"/>
          <w:sz w:val="20"/>
          <w:szCs w:val="20"/>
        </w:rPr>
        <w:drawing>
          <wp:inline distT="0" distB="0" distL="0" distR="0" wp14:anchorId="340CFE3C" wp14:editId="7182068E">
            <wp:extent cx="4309745" cy="1503045"/>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0"/>
                    <a:srcRect/>
                    <a:stretch>
                      <a:fillRect/>
                    </a:stretch>
                  </pic:blipFill>
                  <pic:spPr>
                    <a:xfrm>
                      <a:off x="0" y="0"/>
                      <a:ext cx="4309745" cy="1503045"/>
                    </a:xfrm>
                    <a:prstGeom prst="rect">
                      <a:avLst/>
                    </a:prstGeom>
                    <a:ln/>
                  </pic:spPr>
                </pic:pic>
              </a:graphicData>
            </a:graphic>
          </wp:inline>
        </w:drawing>
      </w:r>
    </w:p>
    <w:p w14:paraId="0381620B" w14:textId="77777777" w:rsidR="00BE6367" w:rsidRDefault="00C90F6A">
      <w:pPr>
        <w:shd w:val="clear" w:color="auto" w:fill="FFFFFF"/>
        <w:ind w:left="720"/>
        <w:jc w:val="both"/>
        <w:rPr>
          <w:rFonts w:ascii="Arial" w:eastAsia="Arial" w:hAnsi="Arial" w:cs="Arial"/>
          <w:color w:val="242424"/>
          <w:sz w:val="20"/>
          <w:szCs w:val="20"/>
        </w:rPr>
      </w:pPr>
      <w:r>
        <w:rPr>
          <w:rFonts w:ascii="Arial" w:eastAsia="Arial" w:hAnsi="Arial" w:cs="Arial"/>
          <w:noProof/>
          <w:color w:val="242424"/>
          <w:sz w:val="20"/>
          <w:szCs w:val="20"/>
        </w:rPr>
        <w:drawing>
          <wp:inline distT="0" distB="0" distL="0" distR="0" wp14:anchorId="24426FB9" wp14:editId="23C4C2AF">
            <wp:extent cx="4325620" cy="244094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4325620" cy="2440940"/>
                    </a:xfrm>
                    <a:prstGeom prst="rect">
                      <a:avLst/>
                    </a:prstGeom>
                    <a:ln/>
                  </pic:spPr>
                </pic:pic>
              </a:graphicData>
            </a:graphic>
          </wp:inline>
        </w:drawing>
      </w:r>
    </w:p>
    <w:p w14:paraId="159AE4F0" w14:textId="77777777" w:rsidR="00BE6367" w:rsidRDefault="00BE6367">
      <w:pPr>
        <w:shd w:val="clear" w:color="auto" w:fill="FFFFFF"/>
        <w:jc w:val="both"/>
        <w:rPr>
          <w:rFonts w:ascii="Arial" w:eastAsia="Arial" w:hAnsi="Arial" w:cs="Arial"/>
          <w:color w:val="242424"/>
          <w:sz w:val="20"/>
          <w:szCs w:val="20"/>
        </w:rPr>
      </w:pPr>
    </w:p>
    <w:p w14:paraId="724D93B7"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No se acepta la observación.</w:t>
      </w:r>
    </w:p>
    <w:p w14:paraId="2528CD17"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La Entidad se permite aclarar que los aspectos señalados corresponden a requisitos expresamente establecidos en la Ficha Técnica de Negociación para verificar la experiencia, el respaldo de los fabricantes y la capacidad técnica necesaria para implementar los componentes especializados de la solución audiovisual y de la Sala de Audiencias.</w:t>
      </w:r>
    </w:p>
    <w:p w14:paraId="2950BDB4"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En primer lugar, la manifestación según la cual el interesado no cumple actualmente determinados requisitos no constituye, por sí sola, una razón suficiente para eliminarlos o modificarlos. Las condiciones de participación fueron definidas de acuerdo con la naturaleza, complejidad y riesgos de los bienes y servicios requeridos y deben ser aplicadas de manera objetiva e igualitaria a todos los potenciales comitentes vendedores.</w:t>
      </w:r>
    </w:p>
    <w:p w14:paraId="198A6DC5"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Respecto de la solicitud de realizar una visita técnica, la Entidad aclara que los documentos del proceso contienen las especificaciones técnicas, cantidades, alcances y resultados mínimos requeridos para la estructuración de la oferta. No obstante, la Entidad podrá programar una visita al sitio cuando se adjudique el contrato al comitente vendedor.</w:t>
      </w:r>
    </w:p>
    <w:p w14:paraId="6EA1EE10"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lastRenderedPageBreak/>
        <w:t>En relación con el servicio de automatización, el alcance se encuentra determinado en la Ficha Técnica de Producto y comprende el desarrollo, programación, pruebas y entrega del software de automatización del sistema de control y del panel táctil, con el propósito de permitir la operación integrada de los sistemas tecnológicos de la Sala de Audiencias. Por lo tanto, el futuro comitente vendedor deberá incluir en su oferta todas las actividades, equipos, licencias, configuraciones y servicios necesarios para obtener el resultado funcional exigido.</w:t>
      </w:r>
    </w:p>
    <w:p w14:paraId="5536D14D"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Frente al requisito de experiencia específica en software de gestión de audiencias o sesiones, la Entidad mantiene la condición de acreditar al menos una implementación realizada durante los últimos cinco (5) años en entidades públicas, judiciales, legislativas o privadas</w:t>
      </w:r>
    </w:p>
    <w:p w14:paraId="3308499F"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Esta exigencia tiene como finalidad verificar que el potencial comitente vendedor cuenta con experiencia reciente en la implementación de plataformas relacionadas con la administración, gestión y operación de audiencias o sesiones. La solución requerida no corresponde únicamente al suministro de licencias o equipos, sino que involucra configuración, integración, parametrización, pruebas, puesta en funcionamiento y articulación con los sistemas audiovisuales y de conferencia de la sala.</w:t>
      </w:r>
    </w:p>
    <w:p w14:paraId="5FFD19A6"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Por lo tanto, la experiencia general en suministro de equipos de cómputo o instalación de soluciones tecnológicas no sustituye la experiencia específica exigida para este componente.</w:t>
      </w:r>
    </w:p>
    <w:p w14:paraId="0BCDDAB0"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En cuanto a las autorizaciones de fabricante requeridas para los ítems 37 y 38, así como para los ítems 39, 40, 41 y 42, la Entidad mantiene dichas condiciones. Estos componentes corresponden a soluciones especializadas de audio, video y conferencia que requieren comercialización autorizada, instalación, configuración, integración y soporte técnico con respaldo del fabricante.</w:t>
      </w:r>
    </w:p>
    <w:p w14:paraId="734B3C32"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Las cartas o certificaciones de fabricante permiten verificar la procedencia de los equipos, la vigencia de las garantías, la disponibilidad de soporte especializado y la autorización del comitente vendedor para intervenir técnicamente la solución ofertada. Una manifestación unilateral del oferente no resulta equivalente, toda vez que no acredita el reconocimiento ni el respaldo técnico del fabricante.</w:t>
      </w:r>
    </w:p>
    <w:p w14:paraId="28513517"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De igual manera, se mantiene el requisito según el cual el comitente vendedor deberá contar con personal técnico certificado por el fabricante para la instalación, configuración, integración y mantenimiento de la unidad central de conferencia, los micrófonos y las unidades de presidente y delegado.</w:t>
      </w:r>
    </w:p>
    <w:p w14:paraId="4E6E6EA0"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Estos equipos funcionan como un sistema integrado y utilizan herramientas, protocolos, configuraciones y procedimientos particulares del fabricante. En consecuencia, la certificación busca garantizar que el personal asignado cuenta con los conocimientos específicos necesarios para intervenir la solución sin afectar su funcionamiento, interoperabilidad o garantía.</w:t>
      </w:r>
    </w:p>
    <w:p w14:paraId="7D96BD99"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Respecto de los ítems 34 —Cámara PTZ— y 35 —Solución de Conmutación Multicámara—, se mantiene la obligación de acreditar un profesional con competencias reconocidas por el fabricante en diseño e ingeniería de soluciones profesionales de video.</w:t>
      </w:r>
    </w:p>
    <w:p w14:paraId="1AF48FBE"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Se aclara que la exigencia no se limita necesariamente a una certificación con una denominación comercial exacta. Podrán aceptarse certificaciones sucesoras, actualizadas, de nivel superior o con denominación equivalente expedidas por el mismo fabricante de la solución ofertada, siempre que permitan verificar las competencias requeridas.</w:t>
      </w:r>
    </w:p>
    <w:p w14:paraId="333B3AED"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 xml:space="preserve">Finalmente, se acepta parcialmente la condición relativa a que el profesional acreditado haga parte de la nómina o se encuentre vinculado directamente con el comitente vendedor. La Entidad mantiene la exigencia de que el profesional cuente con la certificación de competencia técnica correspondiente, la cual deberá acreditarse desde la etapa de presentación de la oferta; </w:t>
      </w:r>
      <w:r>
        <w:rPr>
          <w:rFonts w:ascii="Arial" w:eastAsia="Arial" w:hAnsi="Arial" w:cs="Arial"/>
          <w:sz w:val="20"/>
          <w:szCs w:val="20"/>
        </w:rPr>
        <w:lastRenderedPageBreak/>
        <w:t>no obstante, se permitirá que los documentos que acrediten la vinculación laboral (nómina, afiliación a seguridad social o documento equivalente) de dicho profesional sean adjuntados por el contratista una vez adjudicado el proceso, dentro del plazo que para tal efecto se establezca previo al inicio de la ejecución del contrato.</w:t>
      </w:r>
    </w:p>
    <w:p w14:paraId="025053D8"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La posibilidad de participación no se limita a empresas que cumplan individualmente la totalidad de las condiciones. Los interesados podrán presentar su oferta mediante consorcio o unión temporal, integrando las capacidades, experiencia, autorizaciones y personal técnico de sus miembros, de acuerdo con las reglas establecidas en la Ficha Técnica de Negociación.</w:t>
      </w:r>
    </w:p>
    <w:p w14:paraId="5EAD2C5B"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Por los anteriores motivos, no se accede a la solicitud de eliminar o sustituir los requisitos de experiencia específica, autorizaciones de fabricante y certificaciones del personal técnico, los cuales se mantienen por encontrarse directamente relacionados con la adecuada implementación, integración, garantía y soporte de la solución audiovisual requerida, precisándose únicamente que el soporte de vinculación laboral del profesional certificado podrá aportarse por el contratista adjudicatario, en los términos aquí señalados.</w:t>
      </w:r>
    </w:p>
    <w:p w14:paraId="348B8351" w14:textId="77777777" w:rsidR="00BE6367" w:rsidRDefault="00C90F6A">
      <w:pPr>
        <w:jc w:val="both"/>
        <w:rPr>
          <w:rFonts w:ascii="Arial" w:eastAsia="Arial" w:hAnsi="Arial" w:cs="Arial"/>
          <w:b/>
          <w:bCs/>
          <w:sz w:val="20"/>
          <w:szCs w:val="20"/>
        </w:rPr>
      </w:pPr>
      <w:r>
        <w:rPr>
          <w:rFonts w:ascii="Arial" w:eastAsia="Arial" w:hAnsi="Arial" w:cs="Arial"/>
          <w:b/>
          <w:bCs/>
          <w:sz w:val="20"/>
          <w:szCs w:val="20"/>
        </w:rPr>
        <w:t>OBSERVACIÓN # 5</w:t>
      </w:r>
    </w:p>
    <w:p w14:paraId="67398640" w14:textId="77777777" w:rsidR="00BE6367" w:rsidRDefault="00C90F6A">
      <w:pPr>
        <w:jc w:val="both"/>
        <w:rPr>
          <w:rFonts w:ascii="Arial" w:eastAsia="Arial" w:hAnsi="Arial" w:cs="Arial"/>
          <w:sz w:val="20"/>
          <w:szCs w:val="20"/>
        </w:rPr>
      </w:pPr>
      <w:r>
        <w:rPr>
          <w:rFonts w:ascii="Arial" w:eastAsia="Arial" w:hAnsi="Arial" w:cs="Arial"/>
          <w:sz w:val="20"/>
          <w:szCs w:val="20"/>
        </w:rPr>
        <w:t>Para el caso de los equipos de cómputo y elementos de video; no se si la entidad tenga algún documento que mencione la ubicación o la distribución de los equipos a nivel nacional o si solo estarán en Bogotá; esto debido a que la entidad está solicitando que se cuente con CAS de fabrica que proporcionen servicio de atención en sitio</w:t>
      </w:r>
    </w:p>
    <w:p w14:paraId="24E03E90" w14:textId="77777777" w:rsidR="00BE6367" w:rsidRDefault="00C90F6A">
      <w:pPr>
        <w:spacing w:line="259"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49CCD0B6" w14:textId="77777777" w:rsidR="00BE6367" w:rsidRDefault="00C90F6A">
      <w:pPr>
        <w:spacing w:line="259" w:lineRule="auto"/>
        <w:jc w:val="both"/>
        <w:rPr>
          <w:rFonts w:ascii="Arial" w:eastAsia="Arial" w:hAnsi="Arial" w:cs="Arial"/>
          <w:b/>
          <w:bCs/>
          <w:sz w:val="20"/>
          <w:szCs w:val="20"/>
        </w:rPr>
      </w:pPr>
      <w:r>
        <w:rPr>
          <w:rFonts w:ascii="Arial" w:eastAsia="Arial" w:hAnsi="Arial" w:cs="Arial"/>
          <w:sz w:val="20"/>
          <w:szCs w:val="20"/>
        </w:rPr>
        <w:t xml:space="preserve">Como se establece en la FTN: “La entrega de los bienes se deberá efectuar en la sede central del comitente comprador ubicada en la </w:t>
      </w:r>
      <w:r>
        <w:rPr>
          <w:rFonts w:ascii="Arial" w:eastAsia="Arial" w:hAnsi="Arial" w:cs="Arial"/>
          <w:b/>
          <w:bCs/>
          <w:sz w:val="20"/>
          <w:szCs w:val="20"/>
        </w:rPr>
        <w:t>Carrera 5 # 15 – 80 Bogotá D.C.”</w:t>
      </w:r>
    </w:p>
    <w:p w14:paraId="516FAB03" w14:textId="77777777" w:rsidR="00BE6367" w:rsidRDefault="00BE6367">
      <w:pPr>
        <w:spacing w:line="259" w:lineRule="auto"/>
        <w:jc w:val="both"/>
        <w:rPr>
          <w:rFonts w:ascii="Arial" w:eastAsia="Arial" w:hAnsi="Arial" w:cs="Arial"/>
          <w:b/>
          <w:bCs/>
          <w:sz w:val="20"/>
          <w:szCs w:val="20"/>
        </w:rPr>
      </w:pPr>
    </w:p>
    <w:p w14:paraId="44006436" w14:textId="77777777" w:rsidR="00BE6367" w:rsidRDefault="00BE6367">
      <w:pPr>
        <w:spacing w:line="259" w:lineRule="auto"/>
        <w:jc w:val="both"/>
        <w:rPr>
          <w:rFonts w:ascii="Arial" w:eastAsia="Arial" w:hAnsi="Arial" w:cs="Arial"/>
          <w:b/>
          <w:bCs/>
          <w:sz w:val="20"/>
          <w:szCs w:val="20"/>
        </w:rPr>
      </w:pPr>
    </w:p>
    <w:p w14:paraId="5E114874" w14:textId="77777777" w:rsidR="00BE6367" w:rsidRDefault="00BE6367">
      <w:pPr>
        <w:spacing w:line="259" w:lineRule="auto"/>
        <w:jc w:val="both"/>
        <w:rPr>
          <w:rFonts w:ascii="Arial" w:eastAsia="Arial" w:hAnsi="Arial" w:cs="Arial"/>
          <w:b/>
          <w:bCs/>
          <w:sz w:val="20"/>
          <w:szCs w:val="20"/>
        </w:rPr>
      </w:pPr>
    </w:p>
    <w:p w14:paraId="58156600" w14:textId="77777777" w:rsidR="00BE6367" w:rsidRDefault="00BE6367">
      <w:pPr>
        <w:jc w:val="both"/>
        <w:rPr>
          <w:rFonts w:ascii="Arial" w:eastAsia="Arial" w:hAnsi="Arial" w:cs="Arial"/>
          <w:sz w:val="20"/>
          <w:szCs w:val="20"/>
        </w:rPr>
      </w:pPr>
    </w:p>
    <w:tbl>
      <w:tblPr>
        <w:tblStyle w:val="afa"/>
        <w:tblW w:w="8353" w:type="dxa"/>
        <w:tblInd w:w="0"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1570"/>
        <w:gridCol w:w="6783"/>
      </w:tblGrid>
      <w:tr w:rsidR="00BE6367" w14:paraId="49A1BCFA"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47F7025D"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Sociedad C. B.:</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6A2286FE" w14:textId="77777777" w:rsidR="00BE6367" w:rsidRDefault="00C90F6A">
            <w:pPr>
              <w:jc w:val="both"/>
              <w:rPr>
                <w:rFonts w:ascii="Arial" w:eastAsia="Arial" w:hAnsi="Arial" w:cs="Arial"/>
                <w:b/>
                <w:bCs/>
                <w:color w:val="FFFFFF"/>
                <w:sz w:val="20"/>
                <w:szCs w:val="20"/>
              </w:rPr>
            </w:pPr>
            <w:r>
              <w:rPr>
                <w:rFonts w:ascii="Arial" w:eastAsia="Arial" w:hAnsi="Arial" w:cs="Arial"/>
                <w:b/>
                <w:bCs/>
                <w:color w:val="FFFFFF"/>
                <w:sz w:val="20"/>
                <w:szCs w:val="20"/>
              </w:rPr>
              <w:t>BURSAGAN S.A.</w:t>
            </w:r>
          </w:p>
        </w:tc>
      </w:tr>
      <w:tr w:rsidR="00BE6367" w14:paraId="17BCFFEE" w14:textId="77777777">
        <w:tc>
          <w:tcPr>
            <w:tcW w:w="1570" w:type="dxa"/>
            <w:tcBorders>
              <w:top w:val="single" w:sz="4" w:space="0" w:color="D9D9D9"/>
              <w:left w:val="single" w:sz="4" w:space="0" w:color="D9D9D9"/>
              <w:bottom w:val="single" w:sz="6" w:space="0" w:color="D9D9D9"/>
              <w:right w:val="single" w:sz="6" w:space="0" w:color="D9D9D9"/>
            </w:tcBorders>
            <w:shd w:val="clear" w:color="auto" w:fill="2E74B5"/>
          </w:tcPr>
          <w:p w14:paraId="5CDBA294"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Fecha Registro:</w:t>
            </w:r>
          </w:p>
        </w:tc>
        <w:tc>
          <w:tcPr>
            <w:tcW w:w="6783" w:type="dxa"/>
            <w:tcBorders>
              <w:top w:val="single" w:sz="4" w:space="0" w:color="D9D9D9"/>
              <w:left w:val="single" w:sz="6" w:space="0" w:color="D9D9D9"/>
              <w:bottom w:val="single" w:sz="6" w:space="0" w:color="D9D9D9"/>
              <w:right w:val="single" w:sz="4" w:space="0" w:color="D9D9D9"/>
            </w:tcBorders>
            <w:shd w:val="clear" w:color="auto" w:fill="2E74B5"/>
          </w:tcPr>
          <w:p w14:paraId="70F8E6D9" w14:textId="77777777" w:rsidR="00BE6367" w:rsidRDefault="00C90F6A">
            <w:pPr>
              <w:jc w:val="both"/>
              <w:rPr>
                <w:rFonts w:ascii="Arial" w:eastAsia="Arial" w:hAnsi="Arial" w:cs="Arial"/>
                <w:color w:val="FFFFFF"/>
                <w:sz w:val="20"/>
                <w:szCs w:val="20"/>
              </w:rPr>
            </w:pPr>
            <w:r>
              <w:rPr>
                <w:rFonts w:ascii="Arial" w:eastAsia="Arial" w:hAnsi="Arial" w:cs="Arial"/>
                <w:color w:val="FFFFFF"/>
                <w:sz w:val="20"/>
                <w:szCs w:val="20"/>
              </w:rPr>
              <w:t>2026-07-10 (15:50)</w:t>
            </w:r>
          </w:p>
        </w:tc>
      </w:tr>
    </w:tbl>
    <w:p w14:paraId="48B312EB" w14:textId="77777777" w:rsidR="00BE6367" w:rsidRDefault="00BE6367">
      <w:pPr>
        <w:jc w:val="both"/>
        <w:rPr>
          <w:rFonts w:ascii="Arial" w:eastAsia="Arial" w:hAnsi="Arial" w:cs="Arial"/>
          <w:b/>
          <w:bCs/>
          <w:sz w:val="20"/>
          <w:szCs w:val="20"/>
        </w:rPr>
      </w:pPr>
    </w:p>
    <w:p w14:paraId="18E9A9D3"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Documento de Condiciones Especiales (DCE)</w:t>
      </w:r>
    </w:p>
    <w:p w14:paraId="5724BF12" w14:textId="77777777" w:rsidR="00BE6367" w:rsidRDefault="00BE6367">
      <w:pPr>
        <w:jc w:val="both"/>
        <w:rPr>
          <w:rFonts w:ascii="Arial" w:eastAsia="Arial" w:hAnsi="Arial" w:cs="Arial"/>
          <w:sz w:val="20"/>
          <w:szCs w:val="20"/>
        </w:rPr>
      </w:pPr>
    </w:p>
    <w:p w14:paraId="37C2F0F4"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4CA28B32"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12C2CCBE" w14:textId="77777777" w:rsidR="00BE6367" w:rsidRDefault="00BE6367">
      <w:pPr>
        <w:pBdr>
          <w:top w:val="single" w:sz="4" w:space="1" w:color="BFBFBF"/>
          <w:left w:val="single" w:sz="4" w:space="4" w:color="BFBFBF"/>
          <w:bottom w:val="single" w:sz="4" w:space="7" w:color="BFBFBF"/>
          <w:right w:val="single" w:sz="4" w:space="4" w:color="BFBFBF"/>
        </w:pBdr>
        <w:jc w:val="both"/>
        <w:rPr>
          <w:rFonts w:ascii="Arial" w:eastAsia="Arial" w:hAnsi="Arial" w:cs="Arial"/>
          <w:sz w:val="20"/>
          <w:szCs w:val="20"/>
        </w:rPr>
      </w:pPr>
    </w:p>
    <w:p w14:paraId="563544C0" w14:textId="77777777" w:rsidR="00BE6367" w:rsidRDefault="00BE6367">
      <w:pPr>
        <w:jc w:val="both"/>
        <w:rPr>
          <w:rFonts w:ascii="Arial" w:eastAsia="Arial" w:hAnsi="Arial" w:cs="Arial"/>
          <w:sz w:val="20"/>
          <w:szCs w:val="20"/>
        </w:rPr>
      </w:pPr>
    </w:p>
    <w:p w14:paraId="549B6EA3" w14:textId="77777777" w:rsidR="00BE6367" w:rsidRDefault="00BE6367">
      <w:pPr>
        <w:jc w:val="both"/>
        <w:rPr>
          <w:rFonts w:ascii="Arial" w:eastAsia="Arial" w:hAnsi="Arial" w:cs="Arial"/>
          <w:sz w:val="20"/>
          <w:szCs w:val="20"/>
        </w:rPr>
      </w:pPr>
    </w:p>
    <w:p w14:paraId="69F04AD7"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 xml:space="preserve">Documento(s) Adjunto(s): </w:t>
      </w:r>
    </w:p>
    <w:p w14:paraId="4273FBF6" w14:textId="77777777" w:rsidR="00BE6367" w:rsidRDefault="00BE6367">
      <w:pPr>
        <w:jc w:val="both"/>
        <w:rPr>
          <w:rFonts w:ascii="Arial" w:eastAsia="Arial" w:hAnsi="Arial" w:cs="Arial"/>
          <w:sz w:val="20"/>
          <w:szCs w:val="20"/>
        </w:rPr>
      </w:pPr>
    </w:p>
    <w:p w14:paraId="7695EEBF" w14:textId="77777777" w:rsidR="00BE6367" w:rsidRDefault="00BE6367">
      <w:pPr>
        <w:jc w:val="both"/>
        <w:rPr>
          <w:rFonts w:ascii="Arial" w:eastAsia="Arial" w:hAnsi="Arial" w:cs="Arial"/>
          <w:sz w:val="20"/>
          <w:szCs w:val="20"/>
        </w:rPr>
      </w:pPr>
    </w:p>
    <w:p w14:paraId="70F5022E" w14:textId="77777777" w:rsidR="00BE6367" w:rsidRDefault="00BE6367">
      <w:pPr>
        <w:jc w:val="both"/>
        <w:rPr>
          <w:rFonts w:ascii="Arial" w:eastAsia="Arial" w:hAnsi="Arial" w:cs="Arial"/>
          <w:sz w:val="20"/>
          <w:szCs w:val="20"/>
        </w:rPr>
      </w:pPr>
    </w:p>
    <w:p w14:paraId="02619507" w14:textId="77777777" w:rsidR="00BE6367" w:rsidRDefault="00C90F6A">
      <w:pPr>
        <w:pBdr>
          <w:top w:val="single" w:sz="4" w:space="1" w:color="F2F2F2"/>
          <w:left w:val="single" w:sz="4" w:space="4" w:color="F2F2F2"/>
          <w:bottom w:val="single" w:sz="4" w:space="1" w:color="F2F2F2"/>
          <w:right w:val="single" w:sz="4" w:space="4" w:color="F2F2F2"/>
        </w:pBdr>
        <w:shd w:val="clear" w:color="auto" w:fill="BDD6EE"/>
        <w:jc w:val="both"/>
        <w:rPr>
          <w:rFonts w:ascii="Arial" w:eastAsia="Arial" w:hAnsi="Arial" w:cs="Arial"/>
          <w:sz w:val="20"/>
          <w:szCs w:val="20"/>
        </w:rPr>
      </w:pPr>
      <w:r>
        <w:rPr>
          <w:rFonts w:ascii="Arial" w:eastAsia="Arial" w:hAnsi="Arial" w:cs="Arial"/>
          <w:b/>
          <w:bCs/>
          <w:sz w:val="20"/>
          <w:szCs w:val="20"/>
        </w:rPr>
        <w:t>Ficha Técnica de Negociación</w:t>
      </w:r>
    </w:p>
    <w:p w14:paraId="749ED9D3" w14:textId="77777777" w:rsidR="00BE6367" w:rsidRDefault="00BE6367">
      <w:pPr>
        <w:jc w:val="both"/>
        <w:rPr>
          <w:rFonts w:ascii="Arial" w:eastAsia="Arial" w:hAnsi="Arial" w:cs="Arial"/>
          <w:sz w:val="20"/>
          <w:szCs w:val="20"/>
        </w:rPr>
      </w:pPr>
    </w:p>
    <w:p w14:paraId="0D175AE9" w14:textId="77777777" w:rsidR="00BE6367" w:rsidRDefault="00BE6367">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p>
    <w:p w14:paraId="54074C5F" w14:textId="77777777" w:rsidR="00BE6367" w:rsidRDefault="00C90F6A">
      <w:pPr>
        <w:pBdr>
          <w:top w:val="single" w:sz="4" w:space="1" w:color="BFBFBF"/>
          <w:left w:val="single" w:sz="4" w:space="4" w:color="BFBFBF"/>
          <w:bottom w:val="single" w:sz="4" w:space="21" w:color="BFBFBF"/>
          <w:right w:val="single" w:sz="4" w:space="4" w:color="BFBFBF"/>
        </w:pBdr>
        <w:jc w:val="both"/>
        <w:rPr>
          <w:rFonts w:ascii="Arial" w:eastAsia="Arial" w:hAnsi="Arial" w:cs="Arial"/>
          <w:sz w:val="20"/>
          <w:szCs w:val="20"/>
        </w:rPr>
      </w:pPr>
      <w:r>
        <w:rPr>
          <w:rFonts w:ascii="Arial" w:eastAsia="Arial" w:hAnsi="Arial" w:cs="Arial"/>
          <w:sz w:val="20"/>
          <w:szCs w:val="20"/>
        </w:rPr>
        <w:t>Buenas tardes</w:t>
      </w:r>
    </w:p>
    <w:p w14:paraId="3709CD67" w14:textId="77777777" w:rsidR="00BE6367" w:rsidRDefault="00BE6367">
      <w:pPr>
        <w:jc w:val="both"/>
        <w:rPr>
          <w:rFonts w:ascii="Arial" w:eastAsia="Arial" w:hAnsi="Arial" w:cs="Arial"/>
          <w:sz w:val="20"/>
          <w:szCs w:val="20"/>
        </w:rPr>
      </w:pPr>
    </w:p>
    <w:p w14:paraId="0E19A9AF" w14:textId="77777777" w:rsidR="00BE6367" w:rsidRDefault="00BE6367">
      <w:pPr>
        <w:jc w:val="both"/>
        <w:rPr>
          <w:rFonts w:ascii="Arial" w:eastAsia="Arial" w:hAnsi="Arial" w:cs="Arial"/>
          <w:sz w:val="20"/>
          <w:szCs w:val="20"/>
        </w:rPr>
      </w:pPr>
    </w:p>
    <w:p w14:paraId="098F5A12" w14:textId="77777777" w:rsidR="00BE6367" w:rsidRDefault="00C90F6A">
      <w:pPr>
        <w:pBdr>
          <w:top w:val="single" w:sz="4" w:space="1" w:color="BFBFBF"/>
          <w:left w:val="single" w:sz="4" w:space="4" w:color="BFBFBF"/>
          <w:bottom w:val="single" w:sz="4" w:space="1" w:color="BFBFBF"/>
          <w:right w:val="single" w:sz="4" w:space="4" w:color="BFBFBF"/>
        </w:pBdr>
        <w:shd w:val="clear" w:color="auto" w:fill="D9D9D9"/>
        <w:jc w:val="both"/>
        <w:rPr>
          <w:rFonts w:ascii="Arial" w:eastAsia="Arial" w:hAnsi="Arial" w:cs="Arial"/>
          <w:sz w:val="20"/>
          <w:szCs w:val="20"/>
        </w:rPr>
      </w:pPr>
      <w:r>
        <w:rPr>
          <w:rFonts w:ascii="Arial" w:eastAsia="Arial" w:hAnsi="Arial" w:cs="Arial"/>
          <w:sz w:val="20"/>
          <w:szCs w:val="20"/>
        </w:rPr>
        <w:t>Documento(s) Adjunto(s): Sí</w:t>
      </w:r>
    </w:p>
    <w:p w14:paraId="5B7F208E" w14:textId="77777777" w:rsidR="00BE6367" w:rsidRDefault="00BE6367">
      <w:pPr>
        <w:jc w:val="both"/>
        <w:rPr>
          <w:rFonts w:ascii="Arial" w:eastAsia="Arial" w:hAnsi="Arial" w:cs="Arial"/>
          <w:sz w:val="20"/>
          <w:szCs w:val="20"/>
        </w:rPr>
      </w:pPr>
    </w:p>
    <w:p w14:paraId="3710D462" w14:textId="77777777" w:rsidR="00BE6367" w:rsidRDefault="00C90F6A">
      <w:pPr>
        <w:numPr>
          <w:ilvl w:val="0"/>
          <w:numId w:val="68"/>
        </w:numPr>
        <w:spacing w:after="0" w:line="259" w:lineRule="auto"/>
        <w:ind w:left="0" w:firstLine="0"/>
        <w:jc w:val="both"/>
        <w:rPr>
          <w:rFonts w:ascii="Arial" w:eastAsia="Arial" w:hAnsi="Arial" w:cs="Arial"/>
          <w:sz w:val="20"/>
          <w:szCs w:val="20"/>
        </w:rPr>
      </w:pPr>
      <w:r>
        <w:rPr>
          <w:rFonts w:ascii="Arial" w:eastAsia="Arial" w:hAnsi="Arial" w:cs="Arial"/>
          <w:sz w:val="20"/>
          <w:szCs w:val="20"/>
        </w:rPr>
        <w:t>En el ítem "Modalidad de experiencia a través de certificaciones", la Entidad establece que la experiencia deberá acreditar contratos cuyo objeto, actividades y/o alcance contemplen la adquisición y/o suministro, implementación y soporte tecnológico que incluya hardware y software y/o soluciones audiovisuales, y/o equipos de cómputo y periféricos.</w:t>
      </w:r>
    </w:p>
    <w:p w14:paraId="1BB0838D" w14:textId="77777777" w:rsidR="00BE6367" w:rsidRDefault="00BE6367">
      <w:pPr>
        <w:spacing w:after="0" w:line="259" w:lineRule="auto"/>
        <w:ind w:left="720"/>
        <w:jc w:val="both"/>
        <w:rPr>
          <w:rFonts w:ascii="Arial" w:eastAsia="Arial" w:hAnsi="Arial" w:cs="Arial"/>
          <w:sz w:val="20"/>
          <w:szCs w:val="20"/>
        </w:rPr>
      </w:pPr>
    </w:p>
    <w:p w14:paraId="5DB38ACB"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No obstante, la redacción del requisito genera dudas de interpretación, toda vez que no es claro si las actividades de adquisición y/o suministro, implementación y soporte tecnológico son exigibles para cada una de las categorías mencionadas (hardware y software, soluciones audiovisuales y equipos de cómputo y periféricos), o si dichas actividades únicamente califican a la primera categoría (hardware y software).</w:t>
      </w:r>
    </w:p>
    <w:p w14:paraId="4BE06E07"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En ese sentido, solicitamos respetuosamente a la Entidad aclarar si nuestro entendimiento es correcto, en el sentido de que la experiencia podrá acreditarse mediante contratos que contemplen la adquisición y/o suministro, implementación y soporte tecnológico de hardware y software, soluciones audiovisuales o equipos de cómputo y periféricos, aplicando dichas actividades de manera independiente a cualquiera de las categorías señaladas.</w:t>
      </w:r>
    </w:p>
    <w:p w14:paraId="7BE9EC0A" w14:textId="77777777" w:rsidR="00BE6367" w:rsidRDefault="00BE6367">
      <w:pPr>
        <w:spacing w:line="259" w:lineRule="auto"/>
        <w:jc w:val="both"/>
        <w:rPr>
          <w:rFonts w:ascii="Arial" w:eastAsia="Arial" w:hAnsi="Arial" w:cs="Arial"/>
          <w:sz w:val="20"/>
          <w:szCs w:val="20"/>
        </w:rPr>
      </w:pPr>
    </w:p>
    <w:p w14:paraId="5811323E"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 xml:space="preserve">RESPUESTA OBSERVACIÓN: </w:t>
      </w:r>
    </w:p>
    <w:p w14:paraId="26C1630B"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Se aclara al observante que su entendimiento es correcto, las actividades de adquisición, suministro, implementación y soporte tecnológico aplican de manera transversal e independiente a cualquiera de las categorías de objeto contempladas en el requisito (equipos de cómputo y periféricos, hardware y/o software, y soluciones audiovisuales), sin que dichas actividades se entiendan restringidas a una sola de ellas, ni sea necesario que un mismo contrato certificado abarque la totalidad de las categorías.</w:t>
      </w:r>
    </w:p>
    <w:p w14:paraId="640173C3"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En consecuencia, la Entidad ajustará la redacción del requisito contenido en el ítem "Modalidad de experiencia a través de certificaciones", el cual quedará así:</w:t>
      </w:r>
    </w:p>
    <w:p w14:paraId="26C2E6B8" w14:textId="77777777" w:rsidR="00BE6367" w:rsidRDefault="00C90F6A">
      <w:pPr>
        <w:spacing w:before="240" w:after="240" w:line="259" w:lineRule="auto"/>
        <w:jc w:val="both"/>
        <w:rPr>
          <w:rFonts w:ascii="Arial" w:eastAsia="Arial" w:hAnsi="Arial" w:cs="Arial"/>
          <w:i/>
          <w:iCs/>
          <w:sz w:val="20"/>
          <w:szCs w:val="20"/>
        </w:rPr>
      </w:pPr>
      <w:r>
        <w:rPr>
          <w:rFonts w:ascii="Arial" w:eastAsia="Arial" w:hAnsi="Arial" w:cs="Arial"/>
          <w:i/>
          <w:iCs/>
          <w:sz w:val="20"/>
          <w:szCs w:val="20"/>
        </w:rPr>
        <w:t xml:space="preserve">"Adicionalmente, el comitente vendedor deberá allegar las certificaciones de los contratos registrados en el RUP con los que pretenda acreditar experiencia, debidamente ejecutados con entidades públicas y/o privadas, o negociaciones adelantadas en el escenario de Bolsa, cuyo objeto o actividades o alcance contemple la adquisición o el suministro de equipos de cómputo y/o periféricos, o actividades similares de hardware y/o software o soluciones audiovisuales, incluyendo dentro de sus actividades o alcance la implementación y/o el soporte tecnológico </w:t>
      </w:r>
      <w:r>
        <w:rPr>
          <w:rFonts w:ascii="Arial" w:eastAsia="Arial" w:hAnsi="Arial" w:cs="Arial"/>
          <w:i/>
          <w:iCs/>
          <w:sz w:val="20"/>
          <w:szCs w:val="20"/>
        </w:rPr>
        <w:lastRenderedPageBreak/>
        <w:t>de dichos bienes, y que su sumatoria sea mayor o igual al cien (100%) del presupuesto total de negociación.</w:t>
      </w:r>
    </w:p>
    <w:p w14:paraId="1E19E362" w14:textId="77777777" w:rsidR="00BE6367" w:rsidRDefault="00C90F6A">
      <w:pPr>
        <w:spacing w:after="0" w:line="276" w:lineRule="auto"/>
        <w:jc w:val="both"/>
        <w:rPr>
          <w:rFonts w:ascii="Arial" w:eastAsia="Arial" w:hAnsi="Arial" w:cs="Arial"/>
          <w:i/>
          <w:iCs/>
          <w:sz w:val="20"/>
          <w:szCs w:val="20"/>
        </w:rPr>
      </w:pPr>
      <w:r>
        <w:rPr>
          <w:rFonts w:ascii="Arial" w:eastAsia="Arial" w:hAnsi="Arial" w:cs="Arial"/>
          <w:i/>
          <w:iCs/>
          <w:sz w:val="20"/>
          <w:szCs w:val="20"/>
        </w:rPr>
        <w:t>Para el caso de experiencia con entidades públicas y/o privadas, las certificaciones y/o acta de liquidación de contratos deberán contener mínimo la siguiente información:</w:t>
      </w:r>
    </w:p>
    <w:p w14:paraId="6234E577" w14:textId="77777777" w:rsidR="00BE6367" w:rsidRDefault="00C90F6A">
      <w:pPr>
        <w:spacing w:after="0" w:line="276" w:lineRule="auto"/>
        <w:ind w:left="1080"/>
        <w:jc w:val="both"/>
        <w:rPr>
          <w:rFonts w:ascii="Arial" w:eastAsia="Arial" w:hAnsi="Arial" w:cs="Arial"/>
          <w:i/>
          <w:iCs/>
          <w:sz w:val="20"/>
          <w:szCs w:val="20"/>
        </w:rPr>
      </w:pPr>
      <w:r>
        <w:rPr>
          <w:rFonts w:ascii="Arial" w:eastAsia="Arial" w:hAnsi="Arial" w:cs="Arial"/>
          <w:i/>
          <w:iCs/>
          <w:sz w:val="20"/>
          <w:szCs w:val="20"/>
        </w:rPr>
        <w:t xml:space="preserve"> </w:t>
      </w:r>
    </w:p>
    <w:p w14:paraId="2253EF48" w14:textId="77777777" w:rsidR="00BE6367" w:rsidRDefault="00C90F6A">
      <w:pPr>
        <w:spacing w:after="0" w:line="276" w:lineRule="auto"/>
        <w:ind w:left="600" w:hanging="280"/>
        <w:jc w:val="both"/>
        <w:rPr>
          <w:rFonts w:ascii="Arial" w:eastAsia="Arial" w:hAnsi="Arial" w:cs="Arial"/>
          <w:i/>
          <w:iCs/>
          <w:sz w:val="20"/>
          <w:szCs w:val="20"/>
        </w:rPr>
      </w:pPr>
      <w:r>
        <w:rPr>
          <w:rFonts w:ascii="Arial" w:eastAsia="Arial" w:hAnsi="Arial" w:cs="Arial"/>
          <w:i/>
          <w:iCs/>
          <w:sz w:val="20"/>
          <w:szCs w:val="20"/>
        </w:rPr>
        <w:t>•</w:t>
      </w:r>
      <w:r>
        <w:rPr>
          <w:rFonts w:ascii="Arial" w:eastAsia="Arial" w:hAnsi="Arial" w:cs="Arial"/>
          <w:i/>
          <w:iCs/>
          <w:sz w:val="20"/>
          <w:szCs w:val="20"/>
        </w:rPr>
        <w:tab/>
        <w:t>Nombre entidad contratante</w:t>
      </w:r>
    </w:p>
    <w:p w14:paraId="090F69F6" w14:textId="77777777" w:rsidR="00BE6367" w:rsidRDefault="00C90F6A">
      <w:pPr>
        <w:spacing w:after="0" w:line="276" w:lineRule="auto"/>
        <w:ind w:left="600" w:hanging="280"/>
        <w:jc w:val="both"/>
        <w:rPr>
          <w:rFonts w:ascii="Arial" w:eastAsia="Arial" w:hAnsi="Arial" w:cs="Arial"/>
          <w:i/>
          <w:iCs/>
          <w:sz w:val="20"/>
          <w:szCs w:val="20"/>
        </w:rPr>
      </w:pPr>
      <w:r>
        <w:rPr>
          <w:rFonts w:ascii="Arial" w:eastAsia="Arial" w:hAnsi="Arial" w:cs="Arial"/>
          <w:i/>
          <w:iCs/>
          <w:sz w:val="20"/>
          <w:szCs w:val="20"/>
        </w:rPr>
        <w:t>•</w:t>
      </w:r>
      <w:r>
        <w:rPr>
          <w:rFonts w:ascii="Arial" w:eastAsia="Arial" w:hAnsi="Arial" w:cs="Arial"/>
          <w:i/>
          <w:iCs/>
          <w:sz w:val="20"/>
          <w:szCs w:val="20"/>
        </w:rPr>
        <w:tab/>
        <w:t>Fecha de Expedición de la certificación</w:t>
      </w:r>
    </w:p>
    <w:p w14:paraId="2F60BCD0" w14:textId="77777777" w:rsidR="00BE6367" w:rsidRDefault="00C90F6A">
      <w:pPr>
        <w:spacing w:after="0" w:line="276" w:lineRule="auto"/>
        <w:ind w:left="600" w:hanging="280"/>
        <w:jc w:val="both"/>
        <w:rPr>
          <w:rFonts w:ascii="Arial" w:eastAsia="Arial" w:hAnsi="Arial" w:cs="Arial"/>
          <w:i/>
          <w:iCs/>
          <w:sz w:val="20"/>
          <w:szCs w:val="20"/>
        </w:rPr>
      </w:pPr>
      <w:r>
        <w:rPr>
          <w:rFonts w:ascii="Arial" w:eastAsia="Arial" w:hAnsi="Arial" w:cs="Arial"/>
          <w:i/>
          <w:iCs/>
          <w:sz w:val="20"/>
          <w:szCs w:val="20"/>
        </w:rPr>
        <w:t>•</w:t>
      </w:r>
      <w:r>
        <w:rPr>
          <w:rFonts w:ascii="Arial" w:eastAsia="Arial" w:hAnsi="Arial" w:cs="Arial"/>
          <w:i/>
          <w:iCs/>
          <w:sz w:val="20"/>
          <w:szCs w:val="20"/>
        </w:rPr>
        <w:tab/>
        <w:t>Objeto</w:t>
      </w:r>
    </w:p>
    <w:p w14:paraId="2D38451D" w14:textId="77777777" w:rsidR="00BE6367" w:rsidRDefault="00C90F6A">
      <w:pPr>
        <w:spacing w:after="0" w:line="276" w:lineRule="auto"/>
        <w:ind w:left="600" w:hanging="280"/>
        <w:jc w:val="both"/>
        <w:rPr>
          <w:rFonts w:ascii="Arial" w:eastAsia="Arial" w:hAnsi="Arial" w:cs="Arial"/>
          <w:i/>
          <w:iCs/>
          <w:sz w:val="20"/>
          <w:szCs w:val="20"/>
        </w:rPr>
      </w:pPr>
      <w:r>
        <w:rPr>
          <w:rFonts w:ascii="Arial" w:eastAsia="Arial" w:hAnsi="Arial" w:cs="Arial"/>
          <w:i/>
          <w:iCs/>
          <w:sz w:val="20"/>
          <w:szCs w:val="20"/>
        </w:rPr>
        <w:t>•</w:t>
      </w:r>
      <w:r>
        <w:rPr>
          <w:rFonts w:ascii="Arial" w:eastAsia="Arial" w:hAnsi="Arial" w:cs="Arial"/>
          <w:i/>
          <w:iCs/>
          <w:sz w:val="20"/>
          <w:szCs w:val="20"/>
        </w:rPr>
        <w:tab/>
        <w:t xml:space="preserve">Fecha de Inicio y Terminación </w:t>
      </w:r>
    </w:p>
    <w:p w14:paraId="62C0434C" w14:textId="77777777" w:rsidR="00BE6367" w:rsidRDefault="00C90F6A">
      <w:pPr>
        <w:spacing w:after="0" w:line="276" w:lineRule="auto"/>
        <w:ind w:left="600" w:hanging="280"/>
        <w:jc w:val="both"/>
        <w:rPr>
          <w:rFonts w:ascii="Arial" w:eastAsia="Arial" w:hAnsi="Arial" w:cs="Arial"/>
          <w:i/>
          <w:iCs/>
          <w:sz w:val="20"/>
          <w:szCs w:val="20"/>
        </w:rPr>
      </w:pPr>
      <w:r>
        <w:rPr>
          <w:rFonts w:ascii="Arial" w:eastAsia="Arial" w:hAnsi="Arial" w:cs="Arial"/>
          <w:i/>
          <w:iCs/>
          <w:sz w:val="20"/>
          <w:szCs w:val="20"/>
        </w:rPr>
        <w:t>•</w:t>
      </w:r>
      <w:r>
        <w:rPr>
          <w:rFonts w:ascii="Arial" w:eastAsia="Arial" w:hAnsi="Arial" w:cs="Arial"/>
          <w:i/>
          <w:iCs/>
          <w:sz w:val="20"/>
          <w:szCs w:val="20"/>
        </w:rPr>
        <w:tab/>
        <w:t>Valor del contrato en pesos</w:t>
      </w:r>
    </w:p>
    <w:p w14:paraId="04E2ABAE" w14:textId="77777777" w:rsidR="00BE6367" w:rsidRDefault="00C90F6A">
      <w:pPr>
        <w:spacing w:after="0" w:line="276" w:lineRule="auto"/>
        <w:ind w:left="600" w:hanging="280"/>
        <w:jc w:val="both"/>
        <w:rPr>
          <w:rFonts w:ascii="Arial" w:eastAsia="Arial" w:hAnsi="Arial" w:cs="Arial"/>
          <w:i/>
          <w:iCs/>
          <w:sz w:val="20"/>
          <w:szCs w:val="20"/>
        </w:rPr>
      </w:pPr>
      <w:r>
        <w:rPr>
          <w:rFonts w:ascii="Arial" w:eastAsia="Arial" w:hAnsi="Arial" w:cs="Arial"/>
          <w:i/>
          <w:iCs/>
          <w:sz w:val="20"/>
          <w:szCs w:val="20"/>
        </w:rPr>
        <w:t>•</w:t>
      </w:r>
      <w:r>
        <w:rPr>
          <w:rFonts w:ascii="Arial" w:eastAsia="Arial" w:hAnsi="Arial" w:cs="Arial"/>
          <w:i/>
          <w:iCs/>
          <w:sz w:val="20"/>
          <w:szCs w:val="20"/>
        </w:rPr>
        <w:tab/>
        <w:t>Nombre, Firma y Cargo de quien expide la certificación.</w:t>
      </w:r>
    </w:p>
    <w:p w14:paraId="06E0E95D" w14:textId="77777777" w:rsidR="00BE6367" w:rsidRDefault="00C90F6A">
      <w:pPr>
        <w:spacing w:after="0" w:line="276" w:lineRule="auto"/>
        <w:jc w:val="both"/>
        <w:rPr>
          <w:rFonts w:ascii="Arial" w:eastAsia="Arial" w:hAnsi="Arial" w:cs="Arial"/>
          <w:i/>
          <w:iCs/>
          <w:sz w:val="20"/>
          <w:szCs w:val="20"/>
        </w:rPr>
      </w:pPr>
      <w:r>
        <w:rPr>
          <w:rFonts w:ascii="Arial" w:eastAsia="Arial" w:hAnsi="Arial" w:cs="Arial"/>
          <w:i/>
          <w:iCs/>
          <w:sz w:val="20"/>
          <w:szCs w:val="20"/>
        </w:rPr>
        <w:t xml:space="preserve"> </w:t>
      </w:r>
    </w:p>
    <w:p w14:paraId="7D653C45" w14:textId="77777777" w:rsidR="00BE6367" w:rsidRDefault="00C90F6A">
      <w:pPr>
        <w:spacing w:after="0" w:line="266" w:lineRule="auto"/>
        <w:ind w:right="280"/>
        <w:jc w:val="both"/>
        <w:rPr>
          <w:rFonts w:ascii="Arial" w:eastAsia="Arial" w:hAnsi="Arial" w:cs="Arial"/>
          <w:i/>
          <w:iCs/>
          <w:sz w:val="20"/>
          <w:szCs w:val="20"/>
        </w:rPr>
      </w:pPr>
      <w:r>
        <w:rPr>
          <w:rFonts w:ascii="Arial" w:eastAsia="Arial" w:hAnsi="Arial" w:cs="Arial"/>
          <w:i/>
          <w:iCs/>
          <w:sz w:val="20"/>
          <w:szCs w:val="20"/>
        </w:rPr>
        <w:t>Adicionalmente el comitente vendedor deberá acreditar experiencia específica de la siguiente manera:</w:t>
      </w:r>
    </w:p>
    <w:p w14:paraId="2FC618B5" w14:textId="77777777" w:rsidR="00BE6367" w:rsidRDefault="00C90F6A">
      <w:pPr>
        <w:spacing w:after="0" w:line="266" w:lineRule="auto"/>
        <w:ind w:right="280"/>
        <w:jc w:val="both"/>
        <w:rPr>
          <w:rFonts w:ascii="Arial" w:eastAsia="Arial" w:hAnsi="Arial" w:cs="Arial"/>
          <w:i/>
          <w:iCs/>
          <w:sz w:val="20"/>
          <w:szCs w:val="20"/>
        </w:rPr>
      </w:pPr>
      <w:r>
        <w:rPr>
          <w:rFonts w:ascii="Arial" w:eastAsia="Arial" w:hAnsi="Arial" w:cs="Arial"/>
          <w:i/>
          <w:iCs/>
          <w:sz w:val="20"/>
          <w:szCs w:val="20"/>
        </w:rPr>
        <w:t xml:space="preserve"> </w:t>
      </w:r>
    </w:p>
    <w:p w14:paraId="5DAE921F" w14:textId="77777777" w:rsidR="00BE6367" w:rsidRDefault="00C90F6A">
      <w:pPr>
        <w:spacing w:after="0" w:line="266" w:lineRule="auto"/>
        <w:ind w:left="320" w:right="280" w:hanging="160"/>
        <w:jc w:val="both"/>
        <w:rPr>
          <w:rFonts w:ascii="Arial" w:eastAsia="Arial" w:hAnsi="Arial" w:cs="Arial"/>
          <w:i/>
          <w:iCs/>
          <w:sz w:val="20"/>
          <w:szCs w:val="20"/>
        </w:rPr>
      </w:pPr>
      <w:r>
        <w:rPr>
          <w:rFonts w:ascii="Arial" w:eastAsia="Arial" w:hAnsi="Arial" w:cs="Arial"/>
          <w:i/>
          <w:iCs/>
          <w:sz w:val="20"/>
          <w:szCs w:val="20"/>
        </w:rPr>
        <w:t>• Presentar contratos o certificaciones finalizados a la fecha del cierre de radicación de los documentos en el cual certifique que cuenta con experiencia en el suministro de mínimo 500 equipos de cómputo.</w:t>
      </w:r>
    </w:p>
    <w:p w14:paraId="0D289C36" w14:textId="77777777" w:rsidR="00BE6367" w:rsidRDefault="00C90F6A">
      <w:pPr>
        <w:spacing w:after="0" w:line="266" w:lineRule="auto"/>
        <w:ind w:left="320" w:right="280" w:hanging="160"/>
        <w:jc w:val="both"/>
        <w:rPr>
          <w:rFonts w:ascii="Arial" w:eastAsia="Arial" w:hAnsi="Arial" w:cs="Arial"/>
          <w:i/>
          <w:iCs/>
          <w:sz w:val="20"/>
          <w:szCs w:val="20"/>
        </w:rPr>
      </w:pPr>
      <w:r>
        <w:rPr>
          <w:rFonts w:ascii="Arial" w:eastAsia="Arial" w:hAnsi="Arial" w:cs="Arial"/>
          <w:i/>
          <w:iCs/>
          <w:sz w:val="20"/>
          <w:szCs w:val="20"/>
        </w:rPr>
        <w:t xml:space="preserve">• </w:t>
      </w:r>
      <w:r>
        <w:rPr>
          <w:rFonts w:ascii="Arial" w:eastAsia="Arial" w:hAnsi="Arial" w:cs="Arial"/>
          <w:sz w:val="20"/>
          <w:szCs w:val="20"/>
        </w:rPr>
        <w:t>Presentar contratos o certificaciones finalizados a la fecha de presentación de los documentos en el cual certifique que ha realizado al menos una implementación en los últimos cinco (5) años de software de gestión de audiencias o software de gestión de sesiones en entidades públicas, judiciales, legislativas o privadas.</w:t>
      </w:r>
    </w:p>
    <w:p w14:paraId="69FD7B23" w14:textId="77777777" w:rsidR="00BE6367" w:rsidRDefault="00C90F6A">
      <w:pPr>
        <w:pStyle w:val="Heading4"/>
        <w:keepNext w:val="0"/>
        <w:keepLines w:val="0"/>
        <w:spacing w:before="220" w:after="60" w:line="276" w:lineRule="auto"/>
        <w:ind w:right="280"/>
        <w:jc w:val="both"/>
        <w:rPr>
          <w:rFonts w:ascii="Arial" w:eastAsia="Arial" w:hAnsi="Arial" w:cs="Arial"/>
          <w:color w:val="000000"/>
          <w:sz w:val="20"/>
          <w:szCs w:val="20"/>
        </w:rPr>
      </w:pPr>
      <w:bookmarkStart w:id="22" w:name="_heading=h.5qjorwnzug0b" w:colFirst="0" w:colLast="0"/>
      <w:bookmarkEnd w:id="22"/>
      <w:r>
        <w:rPr>
          <w:rFonts w:ascii="Arial" w:eastAsia="Arial" w:hAnsi="Arial" w:cs="Arial"/>
          <w:color w:val="000000"/>
          <w:sz w:val="20"/>
          <w:szCs w:val="20"/>
        </w:rPr>
        <w:t xml:space="preserve">NOTA: En el caso que la información contenida en las certificaciones no sea suficiente para validar la información anteriormente solicitada para acreditar experiencia, se deberá allegar copias de facturas y/o contratos </w:t>
      </w:r>
    </w:p>
    <w:p w14:paraId="3C69DE68" w14:textId="77777777" w:rsidR="00BE6367" w:rsidRDefault="00BE6367">
      <w:pPr>
        <w:spacing w:line="259" w:lineRule="auto"/>
        <w:jc w:val="both"/>
        <w:rPr>
          <w:rFonts w:ascii="Arial" w:eastAsia="Arial" w:hAnsi="Arial" w:cs="Arial"/>
          <w:sz w:val="20"/>
          <w:szCs w:val="20"/>
        </w:rPr>
      </w:pPr>
    </w:p>
    <w:p w14:paraId="44861CD0" w14:textId="77777777" w:rsidR="00BE6367" w:rsidRDefault="00C90F6A">
      <w:pPr>
        <w:numPr>
          <w:ilvl w:val="0"/>
          <w:numId w:val="68"/>
        </w:numPr>
        <w:spacing w:after="0" w:line="259" w:lineRule="auto"/>
        <w:ind w:left="0" w:firstLine="0"/>
        <w:jc w:val="both"/>
        <w:rPr>
          <w:rFonts w:ascii="Arial" w:eastAsia="Arial" w:hAnsi="Arial" w:cs="Arial"/>
          <w:sz w:val="20"/>
          <w:szCs w:val="20"/>
        </w:rPr>
      </w:pPr>
      <w:r>
        <w:rPr>
          <w:rFonts w:ascii="Arial" w:eastAsia="Arial" w:hAnsi="Arial" w:cs="Arial"/>
          <w:sz w:val="20"/>
          <w:szCs w:val="20"/>
        </w:rPr>
        <w:t>Respecto del requisito de experiencia específica que exige acreditar el suministro de mínimo quinientos (500) equipos de cómputo, solicitamos respetuosamente a la Entidad revisar dicho umbral y permitir acreditar experiencia con un mínimo de doscientos (200) equipos de cómputo.</w:t>
      </w:r>
    </w:p>
    <w:p w14:paraId="680C3A04" w14:textId="77777777" w:rsidR="00BE6367" w:rsidRDefault="00BE6367">
      <w:pPr>
        <w:spacing w:after="0" w:line="259" w:lineRule="auto"/>
        <w:ind w:left="720"/>
        <w:jc w:val="both"/>
        <w:rPr>
          <w:rFonts w:ascii="Arial" w:eastAsia="Arial" w:hAnsi="Arial" w:cs="Arial"/>
          <w:sz w:val="20"/>
          <w:szCs w:val="20"/>
        </w:rPr>
      </w:pPr>
    </w:p>
    <w:p w14:paraId="381A9F38"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Adicionalmente, solicitamos que se permita acreditar experiencia derivada de contratos de arrendamiento de equipos de cómputo, toda vez que esta modalidad implica igualmente el suministro de equipos nuevos, su entrega, configuración, instalación, puesta en funcionamiento, soporte técnico, mantenimiento y reposición cuando corresponda, actividades que demandan capacidades técnicas, logísticas y operativas equivalentes o incluso superiores a las requeridas en un contrato de suministro.</w:t>
      </w:r>
    </w:p>
    <w:p w14:paraId="705AF32B"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La inclusión de esta modalidad no afecta la necesidad de garantizar la idoneidad del contratista; por el contrario, amplía la participación de oferentes con experiencia demostrable en la gestión integral de infraestructura tecnológica, promoviendo la pluralidad de oferentes y la libre concurrencia, sin comprometer el cumplimiento del objeto contractual.</w:t>
      </w:r>
    </w:p>
    <w:p w14:paraId="6C2FB1ED" w14:textId="77777777" w:rsidR="00BE6367" w:rsidRDefault="00C90F6A">
      <w:pPr>
        <w:spacing w:line="259" w:lineRule="auto"/>
        <w:jc w:val="both"/>
        <w:rPr>
          <w:rFonts w:ascii="Arial" w:eastAsia="Arial" w:hAnsi="Arial" w:cs="Arial"/>
          <w:sz w:val="20"/>
          <w:szCs w:val="20"/>
        </w:rPr>
      </w:pPr>
      <w:r>
        <w:rPr>
          <w:rFonts w:ascii="Arial" w:eastAsia="Arial" w:hAnsi="Arial" w:cs="Arial"/>
          <w:b/>
          <w:bCs/>
          <w:sz w:val="20"/>
          <w:szCs w:val="20"/>
        </w:rPr>
        <w:t>RESPUESTA A OBSERVACIÓN:</w:t>
      </w:r>
      <w:r>
        <w:rPr>
          <w:rFonts w:ascii="Arial" w:eastAsia="Arial" w:hAnsi="Arial" w:cs="Arial"/>
          <w:sz w:val="20"/>
          <w:szCs w:val="20"/>
        </w:rPr>
        <w:t xml:space="preserve"> </w:t>
      </w:r>
    </w:p>
    <w:p w14:paraId="7CC9D44B"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No se acepta la observación.</w:t>
      </w:r>
    </w:p>
    <w:p w14:paraId="65E2438B"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La Entidad mantiene el requisito de experiencia específica mediante el cual se exige acreditar el suministro de mínimo quinientos (500) equipos de cómputo, así como la condición según la cual dicha experiencia debe corresponder a contratos de suministro y no a contratos de arrendamiento.</w:t>
      </w:r>
    </w:p>
    <w:p w14:paraId="344626E7"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 xml:space="preserve">La exigencia fue establecida teniendo en cuenta la magnitud del proceso, especialmente porque la negociación contempla la adquisición de tres mil quinientos (3.500) computadores de </w:t>
      </w:r>
      <w:r>
        <w:rPr>
          <w:rFonts w:ascii="Arial" w:eastAsia="Arial" w:hAnsi="Arial" w:cs="Arial"/>
          <w:sz w:val="20"/>
          <w:szCs w:val="20"/>
        </w:rPr>
        <w:lastRenderedPageBreak/>
        <w:t>escritorio tipo AIO avanzado, además de estaciones de trabajo, equipos de cómputo especializados y demás componentes tecnológicos.</w:t>
      </w:r>
    </w:p>
    <w:p w14:paraId="024F4BFB"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En este contexto, acreditar experiencia en el suministro de mínimo quinientos (500) equipos permite verificar que el potencial comitente vendedor cuenta con capacidad logística, administrativa, operativa y técnica para atender procesos de aprovisionamiento masivo, almacenamiento, transporte, entrega, configuración, identificación de seriales, instalación, gestión de garantías y soporte sobre un volumen representativo de equipos.</w:t>
      </w:r>
    </w:p>
    <w:p w14:paraId="37228A6A"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La reducción del requisito a doscientos (200) equipos no resulta proporcional frente a la cantidad principal objeto de adquisición, dado que dicho volumen representa una proporción reducida respecto de los tres mil quinientos (3.500) computadores AIO requeridos. En consecuencia, la Entidad considera que este umbral no permitiría acreditar de manera suficiente la experiencia necesaria para mitigar los riesgos asociados a la ejecución de una operación de esta magnitud.</w:t>
      </w:r>
    </w:p>
    <w:p w14:paraId="4324E11F"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De igual manera, no se acepta la solicitud de acreditar la experiencia mediante contratos de arrendamiento de equipos de cómputo.</w:t>
      </w:r>
    </w:p>
    <w:p w14:paraId="78DD4038"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Aunque los contratos de arrendamiento pueden incluir actividades de entrega, instalación, mantenimiento, soporte y reposición, su naturaleza y estructura contractual son diferentes a las de un contrato de suministro. En el arrendamiento, los equipos se ponen temporalmente a disposición del contratante y continúan siendo propiedad del arrendador, mientras que en el suministro o compraventa se presenta la entrega definitiva de los bienes y la transferencia de su propiedad.</w:t>
      </w:r>
    </w:p>
    <w:p w14:paraId="5AF59C01"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La presente negociación tiene como finalidad la adquisición definitiva de equipos de cómputo para la Procuraduría General de la Nación. Por esta razón, la experiencia exigida debe guardar relación directa con procesos de suministro o venta definitiva de bienes, en los cuales el contratista haya asumido obligaciones equivalentes de aprovisionamiento, entrega, transferencia, recepción, legalización, garantía y soporte posventa.</w:t>
      </w:r>
    </w:p>
    <w:p w14:paraId="1B6EAF5A"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La experiencia derivada de un contrato de arrendamiento tampoco permite verificar necesariamente que el proponente haya gestionado la adquisición y entrega definitiva de un número equivalente de equipos, toda vez que en esta modalidad pueden utilizarse inventarios previamente existentes, equipos reutilizados durante diferentes periodos contractuales o esquemas de reposición propios de la prestación continuada del servicio.</w:t>
      </w:r>
    </w:p>
    <w:p w14:paraId="0049D323"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En consecuencia, permitir la acreditación mediante contratos de arrendamiento ampliaría el requisito hacia una modalidad contractual que no guarda plena equivalencia con la adquisición definitiva prevista en el presente proceso.</w:t>
      </w:r>
    </w:p>
    <w:p w14:paraId="2B35851D"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La pluralidad de oferentes y la libre concurrencia no implican que la Entidad deba reducir los requisitos de experiencia o aceptar modalidades contractuales diferentes cuando estas no permiten verificar de manera equivalente la capacidad requerida para ejecutar el objeto contractual. Estos principios deben armonizarse con la selección objetiva, la adecuada gestión de riesgos y la protección de los recursos públicos.</w:t>
      </w:r>
    </w:p>
    <w:p w14:paraId="3F406122"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Por los anteriores motivos, se mantiene la exigencia de acreditar experiencia en el suministro de mínimo quinientos (500) equipos de cómputo y no se permitirá su acreditación mediante contratos de arrendamiento. En consecuencia, no se accede a la observación.</w:t>
      </w:r>
    </w:p>
    <w:p w14:paraId="23DB3509" w14:textId="77777777" w:rsidR="00BE6367" w:rsidRDefault="00BE6367">
      <w:pPr>
        <w:spacing w:line="259" w:lineRule="auto"/>
        <w:jc w:val="both"/>
        <w:rPr>
          <w:rFonts w:ascii="Arial" w:eastAsia="Arial" w:hAnsi="Arial" w:cs="Arial"/>
          <w:sz w:val="20"/>
          <w:szCs w:val="20"/>
        </w:rPr>
      </w:pPr>
    </w:p>
    <w:p w14:paraId="2B8E7263" w14:textId="77777777" w:rsidR="00BE6367" w:rsidRDefault="00C90F6A">
      <w:pPr>
        <w:numPr>
          <w:ilvl w:val="0"/>
          <w:numId w:val="68"/>
        </w:numPr>
        <w:spacing w:after="0" w:line="259" w:lineRule="auto"/>
        <w:ind w:left="0" w:firstLine="0"/>
        <w:jc w:val="both"/>
        <w:rPr>
          <w:rFonts w:ascii="Arial" w:eastAsia="Arial" w:hAnsi="Arial" w:cs="Arial"/>
          <w:sz w:val="20"/>
          <w:szCs w:val="20"/>
        </w:rPr>
      </w:pPr>
      <w:r>
        <w:rPr>
          <w:rFonts w:ascii="Arial" w:eastAsia="Arial" w:hAnsi="Arial" w:cs="Arial"/>
          <w:sz w:val="20"/>
          <w:szCs w:val="20"/>
        </w:rPr>
        <w:t>La Entidad solicita acreditar la implementación, durante los últimos cinco (5) años, de plataformas de software de gestión de audiencias o sesiones en entidades públicas, judiciales, legislativas o corporativas.</w:t>
      </w:r>
    </w:p>
    <w:p w14:paraId="12C70AD2"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lastRenderedPageBreak/>
        <w:t>Respetuosamente solicitamos eliminar este requisito, toda vez que constituye una condición de experiencia excesivamente específica que limita la pluralidad de oferentes, al circunscribir la acreditación a una única clase de plataforma de software. Consideramos que la experiencia general y específica exigida en los demás numerales resulta suficiente para acreditar la capacidad técnica del futuro contratista, sin que sea necesario restringir la participación a quienes hayan implementado este tipo particular de solución.</w:t>
      </w:r>
    </w:p>
    <w:p w14:paraId="78F6DF5F"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En este sentido, solicitamos revisar este requisito con el fin de garantizar una mayor concurrencia de oferentes, en aplicación de los principios de pluralidad, libre concurrencia y selección objetiva que rigen la contratación pública.</w:t>
      </w:r>
    </w:p>
    <w:p w14:paraId="31E42B7C" w14:textId="77777777" w:rsidR="00BE6367" w:rsidRDefault="00BE6367">
      <w:pPr>
        <w:jc w:val="both"/>
        <w:rPr>
          <w:rFonts w:ascii="Arial" w:eastAsia="Arial" w:hAnsi="Arial" w:cs="Arial"/>
          <w:sz w:val="20"/>
          <w:szCs w:val="20"/>
        </w:rPr>
      </w:pPr>
    </w:p>
    <w:p w14:paraId="19650426" w14:textId="77777777" w:rsidR="00BE6367" w:rsidRDefault="00C90F6A">
      <w:pPr>
        <w:spacing w:line="259" w:lineRule="auto"/>
        <w:jc w:val="both"/>
        <w:rPr>
          <w:rFonts w:ascii="Arial" w:eastAsia="Arial" w:hAnsi="Arial" w:cs="Arial"/>
          <w:b/>
          <w:bCs/>
          <w:sz w:val="20"/>
          <w:szCs w:val="20"/>
        </w:rPr>
      </w:pPr>
      <w:r>
        <w:rPr>
          <w:rFonts w:ascii="Arial" w:eastAsia="Arial" w:hAnsi="Arial" w:cs="Arial"/>
          <w:b/>
          <w:bCs/>
          <w:sz w:val="20"/>
          <w:szCs w:val="20"/>
        </w:rPr>
        <w:t xml:space="preserve">RESPUESTA A OBSERVACIÓN: </w:t>
      </w:r>
    </w:p>
    <w:p w14:paraId="535CDFF3" w14:textId="77777777" w:rsidR="00BE6367" w:rsidRDefault="00C90F6A">
      <w:pPr>
        <w:spacing w:line="259" w:lineRule="auto"/>
        <w:jc w:val="both"/>
        <w:rPr>
          <w:rFonts w:ascii="Arial" w:eastAsia="Arial" w:hAnsi="Arial" w:cs="Arial"/>
          <w:sz w:val="20"/>
          <w:szCs w:val="20"/>
        </w:rPr>
      </w:pPr>
      <w:r>
        <w:rPr>
          <w:rFonts w:ascii="Arial" w:eastAsia="Arial" w:hAnsi="Arial" w:cs="Arial"/>
          <w:sz w:val="20"/>
          <w:szCs w:val="20"/>
        </w:rPr>
        <w:t>No se acepta la observación.</w:t>
      </w:r>
    </w:p>
    <w:p w14:paraId="2D084552"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La Entidad mantiene el requisito de experiencia específica mediante el cual se exige acreditar, durante los últimos cinco (5) años, al menos una implementación de plataformas de software de gestión de audiencias o sesiones en entidades públicas, judiciales, legislativas o corporativas.</w:t>
      </w:r>
    </w:p>
    <w:p w14:paraId="31581EAD"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La exigencia guarda relación directa con uno de los componentes especializados que integran el objeto de la negociación, el cual comprende no solamente el suministro de equipos de cómputo y periféricos, sino también la implementación, configuración, integración y puesta en funcionamiento de una solución tecnológica para la gestión de audiencias y sesiones.</w:t>
      </w:r>
    </w:p>
    <w:p w14:paraId="1C9D9C0E"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La plataforma requerida debe articularse con los sistemas de conferencia, audio, video, grabación, automatización y demás componentes tecnológicos de la Sala de Audiencias. En consecuencia, su implementación demanda conocimientos específicos en parametrización, administración de sesiones, gestión de participantes, integración audiovisual, pruebas funcionales, puesta en producción y soporte especializado.</w:t>
      </w:r>
    </w:p>
    <w:p w14:paraId="65788A51"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La experiencia general en suministro de equipos de cómputo, periféricos o soluciones audiovisuales no permite acreditar por sí sola que el potencial comitente vendedor cuenta con antecedentes suficientes en la implementación de plataformas de gestión de audiencias o sesiones. Se trata de actividades con alcances, riesgos y resultados distintos, razón por la cual los demás requisitos de experiencia no sustituyen la condición específica observada.</w:t>
      </w:r>
    </w:p>
    <w:p w14:paraId="5C5F3F55"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Asimismo, la exigencia de que la implementación haya sido realizada durante los últimos cinco (5) años tiene como finalidad verificar que la experiencia sea reciente y corresponda a tecnologías, arquitecturas, metodologías de integración y condiciones de operación vigentes. El sector de software y soluciones audiovisuales presenta una evolución permanente, por lo que resulta necesario comprobar que el interesado conserva capacidades técnicas actualizadas para implementar el componente requerido.</w:t>
      </w:r>
    </w:p>
    <w:p w14:paraId="4D0D8E06"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El requisito no exige que la experiencia haya sido adquirida exclusivamente en entidades judiciales. La Ficha Técnica de Negociación permite acreditarla mediante implementaciones realizadas en entidades públicas, judiciales, legislativas o corporativas, lo que amplía los escenarios válidos y permite reconocer proyectos ejecutados en diferentes tipos de organizaciones que utilicen plataformas de gestión de audiencias o sesiones.</w:t>
      </w:r>
    </w:p>
    <w:p w14:paraId="1C0E5679"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La proporcionalidad del requisito no depende únicamente del valor económico que representa el software dentro del presupuesto total. También debe analizarse su relevancia funcional y el riesgo que generaría una implementación inadecuada. La plataforma constituye un elemento necesario para la administración y operación de las audiencias o sesiones y debe integrarse correctamente con los demás sistemas tecnológicos de la sala.</w:t>
      </w:r>
    </w:p>
    <w:p w14:paraId="6D180EB6"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lastRenderedPageBreak/>
        <w:t>La eliminación solicitada impediría verificar de manera objetiva que el futuro comitente vendedor ha ejecutado previamente una solución con características y niveles de integración semejantes, incrementando los riesgos de retrasos, incompatibilidades, deficiencias en la configuración y dificultades durante la puesta en funcionamiento y el soporte.</w:t>
      </w:r>
    </w:p>
    <w:p w14:paraId="4EF94325"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La pluralidad de oferentes y la libre concurrencia no implican que la Entidad deba eliminar requisitos directamente relacionados con componentes especializados del objeto contractual. Estos principios deben armonizarse con la selección objetiva, la gestión de riesgos y la necesidad de garantizar que el futuro contratista cuente con experiencia suficiente para ejecutar integralmente la negociación.</w:t>
      </w:r>
    </w:p>
    <w:p w14:paraId="4B91B2FD" w14:textId="77777777" w:rsidR="00BE6367" w:rsidRDefault="00C90F6A">
      <w:pPr>
        <w:spacing w:before="240" w:after="240" w:line="259" w:lineRule="auto"/>
        <w:jc w:val="both"/>
        <w:rPr>
          <w:rFonts w:ascii="Arial" w:eastAsia="Arial" w:hAnsi="Arial" w:cs="Arial"/>
          <w:sz w:val="20"/>
          <w:szCs w:val="20"/>
        </w:rPr>
      </w:pPr>
      <w:r>
        <w:rPr>
          <w:rFonts w:ascii="Arial" w:eastAsia="Arial" w:hAnsi="Arial" w:cs="Arial"/>
          <w:sz w:val="20"/>
          <w:szCs w:val="20"/>
        </w:rPr>
        <w:t>Por los anteriores motivos, se mantiene la exigencia de acreditar al menos una implementación, realizada durante los últimos cinco (5) años, de plataformas de software de gestión de audiencias o sesiones en entidades públicas, judiciales, legislativas o corporativas y, en consecuencia, no se accede a la observación</w:t>
      </w:r>
    </w:p>
    <w:p w14:paraId="2F8C77DE" w14:textId="77777777" w:rsidR="00BE6367" w:rsidRDefault="00BE6367">
      <w:pPr>
        <w:spacing w:line="259" w:lineRule="auto"/>
        <w:jc w:val="both"/>
        <w:rPr>
          <w:rFonts w:ascii="Arial" w:eastAsia="Arial" w:hAnsi="Arial" w:cs="Arial"/>
          <w:b/>
          <w:bCs/>
          <w:sz w:val="20"/>
          <w:szCs w:val="20"/>
        </w:rPr>
      </w:pPr>
    </w:p>
    <w:p w14:paraId="3ADF3EF7" w14:textId="77777777" w:rsidR="00BE6367" w:rsidRDefault="00BE6367">
      <w:pPr>
        <w:jc w:val="both"/>
        <w:rPr>
          <w:rFonts w:ascii="Arial" w:eastAsia="Arial" w:hAnsi="Arial" w:cs="Arial"/>
          <w:sz w:val="20"/>
          <w:szCs w:val="20"/>
        </w:rPr>
      </w:pPr>
    </w:p>
    <w:p w14:paraId="217F4FDE" w14:textId="77777777" w:rsidR="00BE6367" w:rsidRDefault="00C90F6A">
      <w:pPr>
        <w:jc w:val="both"/>
        <w:rPr>
          <w:rFonts w:ascii="Arial" w:eastAsia="Arial" w:hAnsi="Arial" w:cs="Arial"/>
          <w:color w:val="808080"/>
          <w:sz w:val="20"/>
          <w:szCs w:val="20"/>
        </w:rPr>
      </w:pPr>
      <w:r>
        <w:rPr>
          <w:rFonts w:ascii="Arial" w:eastAsia="Arial" w:hAnsi="Arial" w:cs="Arial"/>
          <w:color w:val="808080"/>
          <w:sz w:val="20"/>
          <w:szCs w:val="20"/>
        </w:rPr>
        <w:t>--- Fin del Documento ---</w:t>
      </w:r>
    </w:p>
    <w:p w14:paraId="2C27ABBA" w14:textId="77777777" w:rsidR="00BE6367" w:rsidRDefault="00BE6367">
      <w:pPr>
        <w:spacing w:after="0" w:line="240" w:lineRule="auto"/>
        <w:jc w:val="both"/>
        <w:rPr>
          <w:rFonts w:ascii="Arial" w:eastAsia="Arial" w:hAnsi="Arial" w:cs="Arial"/>
          <w:b/>
          <w:bCs/>
          <w:sz w:val="20"/>
          <w:szCs w:val="20"/>
        </w:rPr>
      </w:pPr>
    </w:p>
    <w:sectPr w:rsidR="00BE6367">
      <w:headerReference w:type="default" r:id="rId32"/>
      <w:pgSz w:w="12242" w:h="20163"/>
      <w:pgMar w:top="2858" w:right="2036" w:bottom="3062" w:left="184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99884" w14:textId="77777777" w:rsidR="00F313A3" w:rsidRDefault="00F313A3">
      <w:pPr>
        <w:spacing w:after="0" w:line="240" w:lineRule="auto"/>
      </w:pPr>
      <w:r>
        <w:separator/>
      </w:r>
    </w:p>
  </w:endnote>
  <w:endnote w:type="continuationSeparator" w:id="0">
    <w:p w14:paraId="4A3DC1CB" w14:textId="77777777" w:rsidR="00F313A3" w:rsidRDefault="00F31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8B80E640-9AAD-4A01-A7E0-D045019C6DA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A8D92310-C8B3-4AA2-BC8C-5C53BE3CD55F}"/>
  </w:font>
  <w:font w:name="Cambria">
    <w:panose1 w:val="02040503050406030204"/>
    <w:charset w:val="00"/>
    <w:family w:val="roman"/>
    <w:pitch w:val="variable"/>
    <w:sig w:usb0="E00006FF" w:usb1="420024FF" w:usb2="02000000" w:usb3="00000000" w:csb0="0000019F" w:csb1="00000000"/>
    <w:embedRegular r:id="rId3" w:fontKey="{81D35E0D-4E8F-48B0-B005-371AAC06276C}"/>
    <w:embedBold r:id="rId4" w:fontKey="{79566E57-C131-46B9-8271-FDCCC7754608}"/>
    <w:embedItalic r:id="rId5" w:fontKey="{A49F8861-C612-47F9-8C8B-217626E84167}"/>
  </w:font>
  <w:font w:name="Calibri">
    <w:panose1 w:val="020F0502020204030204"/>
    <w:charset w:val="00"/>
    <w:family w:val="swiss"/>
    <w:pitch w:val="variable"/>
    <w:sig w:usb0="E4002EFF" w:usb1="C200247B" w:usb2="00000009" w:usb3="00000000" w:csb0="000001FF" w:csb1="00000000"/>
    <w:embedRegular r:id="rId6" w:fontKey="{9916D365-FB29-416C-B921-88AD4C3F1FF9}"/>
    <w:embedBold r:id="rId7" w:fontKey="{63EEB6E2-7D04-4F51-AA6E-E186F2AE8234}"/>
    <w:embedItalic r:id="rId8" w:fontKey="{80C72DDA-50EB-4668-BDE7-8D9C57F2B7AE}"/>
    <w:embedBoldItalic r:id="rId9" w:fontKey="{8F99043C-4197-4907-BCA0-D27BD9128041}"/>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0" w:fontKey="{7E955E75-995E-404C-84F6-CB856CD06FA5}"/>
    <w:embedItalic r:id="rId11" w:fontKey="{17CB476B-93DD-4790-9CED-F46EF7B44C93}"/>
  </w:font>
  <w:font w:name="Arial Unicode MS">
    <w:altName w:val="Arial"/>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A7E23" w14:textId="77777777" w:rsidR="00F313A3" w:rsidRDefault="00F313A3">
      <w:pPr>
        <w:spacing w:after="0" w:line="240" w:lineRule="auto"/>
      </w:pPr>
      <w:r>
        <w:separator/>
      </w:r>
    </w:p>
  </w:footnote>
  <w:footnote w:type="continuationSeparator" w:id="0">
    <w:p w14:paraId="3E9199D8" w14:textId="77777777" w:rsidR="00F313A3" w:rsidRDefault="00F31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5D22C" w14:textId="77777777" w:rsidR="00BE6367" w:rsidRDefault="00C90F6A">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0" distR="0" simplePos="0" relativeHeight="251658240" behindDoc="1" locked="0" layoutInCell="1" hidden="0" allowOverlap="1" wp14:anchorId="1E77F1CB" wp14:editId="7A83B4FC">
          <wp:simplePos x="0" y="0"/>
          <wp:positionH relativeFrom="column">
            <wp:posOffset>-1266824</wp:posOffset>
          </wp:positionH>
          <wp:positionV relativeFrom="paragraph">
            <wp:posOffset>-447674</wp:posOffset>
          </wp:positionV>
          <wp:extent cx="7841293" cy="12914569"/>
          <wp:effectExtent l="0" t="0" r="0" b="0"/>
          <wp:wrapNone/>
          <wp:docPr id="1" name="image2.png" descr="Imagen que contiene Patrón de fond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2.png" descr="Imagen que contiene Patrón de fondo&#10;&#10;El contenido generado por IA puede ser incorrecto."/>
                  <pic:cNvPicPr preferRelativeResize="0"/>
                </pic:nvPicPr>
                <pic:blipFill>
                  <a:blip r:embed="rId1"/>
                  <a:srcRect/>
                  <a:stretch>
                    <a:fillRect/>
                  </a:stretch>
                </pic:blipFill>
                <pic:spPr>
                  <a:xfrm>
                    <a:off x="0" y="0"/>
                    <a:ext cx="7841293" cy="1291456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170A"/>
    <w:multiLevelType w:val="multilevel"/>
    <w:tmpl w:val="0D3649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6DC477A"/>
    <w:multiLevelType w:val="multilevel"/>
    <w:tmpl w:val="BD24B080"/>
    <w:lvl w:ilvl="0">
      <w:start w:val="2"/>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881C1B"/>
    <w:multiLevelType w:val="multilevel"/>
    <w:tmpl w:val="C94E33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D2B4CE3"/>
    <w:multiLevelType w:val="multilevel"/>
    <w:tmpl w:val="B27011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FF0254F"/>
    <w:multiLevelType w:val="multilevel"/>
    <w:tmpl w:val="241487C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1C14EF8"/>
    <w:multiLevelType w:val="multilevel"/>
    <w:tmpl w:val="708AC5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2160549"/>
    <w:multiLevelType w:val="multilevel"/>
    <w:tmpl w:val="C8144A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421206"/>
    <w:multiLevelType w:val="multilevel"/>
    <w:tmpl w:val="2E8865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3653351"/>
    <w:multiLevelType w:val="multilevel"/>
    <w:tmpl w:val="EC784C1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15B029B2"/>
    <w:multiLevelType w:val="multilevel"/>
    <w:tmpl w:val="7630AB0E"/>
    <w:lvl w:ilvl="0">
      <w:start w:val="2"/>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5EC37F0"/>
    <w:multiLevelType w:val="multilevel"/>
    <w:tmpl w:val="7848052E"/>
    <w:lvl w:ilvl="0">
      <w:start w:val="2"/>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68F1B13"/>
    <w:multiLevelType w:val="multilevel"/>
    <w:tmpl w:val="AF861A22"/>
    <w:lvl w:ilvl="0">
      <w:start w:val="2"/>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6934D68"/>
    <w:multiLevelType w:val="multilevel"/>
    <w:tmpl w:val="8F4611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7B22CB2"/>
    <w:multiLevelType w:val="multilevel"/>
    <w:tmpl w:val="C8FE2F32"/>
    <w:lvl w:ilvl="0">
      <w:start w:val="2"/>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7FC5A32"/>
    <w:multiLevelType w:val="multilevel"/>
    <w:tmpl w:val="D8027D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87501CE"/>
    <w:multiLevelType w:val="multilevel"/>
    <w:tmpl w:val="BA3AED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1B623B3D"/>
    <w:multiLevelType w:val="multilevel"/>
    <w:tmpl w:val="94CCFE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1E23652E"/>
    <w:multiLevelType w:val="multilevel"/>
    <w:tmpl w:val="CFAEC3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1E460D0D"/>
    <w:multiLevelType w:val="multilevel"/>
    <w:tmpl w:val="DD664C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1F565CD6"/>
    <w:multiLevelType w:val="multilevel"/>
    <w:tmpl w:val="795E71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F7C1AA5"/>
    <w:multiLevelType w:val="multilevel"/>
    <w:tmpl w:val="C53C2F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26B07925"/>
    <w:multiLevelType w:val="multilevel"/>
    <w:tmpl w:val="C55275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7DF43E6"/>
    <w:multiLevelType w:val="multilevel"/>
    <w:tmpl w:val="29BA37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8A74C1F"/>
    <w:multiLevelType w:val="multilevel"/>
    <w:tmpl w:val="21FE89C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29AE4442"/>
    <w:multiLevelType w:val="multilevel"/>
    <w:tmpl w:val="A5308B0A"/>
    <w:lvl w:ilvl="0">
      <w:start w:val="2"/>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BA34FD6"/>
    <w:multiLevelType w:val="multilevel"/>
    <w:tmpl w:val="180625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2C17285F"/>
    <w:multiLevelType w:val="multilevel"/>
    <w:tmpl w:val="1DAE03D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30D817DA"/>
    <w:multiLevelType w:val="multilevel"/>
    <w:tmpl w:val="64F4756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355B25DD"/>
    <w:multiLevelType w:val="multilevel"/>
    <w:tmpl w:val="796A7BD4"/>
    <w:lvl w:ilvl="0">
      <w:start w:val="1"/>
      <w:numFmt w:val="bullet"/>
      <w:lvlText w:val="●"/>
      <w:lvlJc w:val="left"/>
      <w:pPr>
        <w:ind w:left="720" w:hanging="360"/>
      </w:pPr>
      <w:rPr>
        <w:rFonts w:ascii="Noto Sans Symbols" w:eastAsia="Noto Sans Symbols" w:hAnsi="Noto Sans Symbols" w:cs="Noto Sans Symbols"/>
        <w:sz w:val="20"/>
        <w:szCs w:val="20"/>
      </w:rPr>
    </w:lvl>
    <w:lvl w:ilvl="1">
      <w:start w:val="2"/>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5A12C27"/>
    <w:multiLevelType w:val="multilevel"/>
    <w:tmpl w:val="3ED8309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37863EA5"/>
    <w:multiLevelType w:val="multilevel"/>
    <w:tmpl w:val="238650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A952B18"/>
    <w:multiLevelType w:val="multilevel"/>
    <w:tmpl w:val="E612CB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D577D70"/>
    <w:multiLevelType w:val="multilevel"/>
    <w:tmpl w:val="02BC38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3E7C5B50"/>
    <w:multiLevelType w:val="multilevel"/>
    <w:tmpl w:val="9E5E25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3F7661C7"/>
    <w:multiLevelType w:val="multilevel"/>
    <w:tmpl w:val="CADC1906"/>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41F92945"/>
    <w:multiLevelType w:val="multilevel"/>
    <w:tmpl w:val="FA7AC1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426601D1"/>
    <w:multiLevelType w:val="multilevel"/>
    <w:tmpl w:val="C338EE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427305FC"/>
    <w:multiLevelType w:val="multilevel"/>
    <w:tmpl w:val="785261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44873C99"/>
    <w:multiLevelType w:val="multilevel"/>
    <w:tmpl w:val="E09C41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47A25A8C"/>
    <w:multiLevelType w:val="multilevel"/>
    <w:tmpl w:val="E52ECD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49C7181D"/>
    <w:multiLevelType w:val="multilevel"/>
    <w:tmpl w:val="7B8045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4D9A40CC"/>
    <w:multiLevelType w:val="multilevel"/>
    <w:tmpl w:val="22BE27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4FFD6C55"/>
    <w:multiLevelType w:val="multilevel"/>
    <w:tmpl w:val="7B805B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51DD5B1E"/>
    <w:multiLevelType w:val="multilevel"/>
    <w:tmpl w:val="8B8870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538D0835"/>
    <w:multiLevelType w:val="multilevel"/>
    <w:tmpl w:val="0E3A3ED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5" w15:restartNumberingAfterBreak="0">
    <w:nsid w:val="583F23E8"/>
    <w:multiLevelType w:val="multilevel"/>
    <w:tmpl w:val="8B14DF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 w15:restartNumberingAfterBreak="0">
    <w:nsid w:val="5A4011F6"/>
    <w:multiLevelType w:val="multilevel"/>
    <w:tmpl w:val="8DD81FC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15:restartNumberingAfterBreak="0">
    <w:nsid w:val="5BD41AFF"/>
    <w:multiLevelType w:val="multilevel"/>
    <w:tmpl w:val="B5D6443E"/>
    <w:lvl w:ilvl="0">
      <w:start w:val="2"/>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5D8B6C39"/>
    <w:multiLevelType w:val="multilevel"/>
    <w:tmpl w:val="4DCACF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5DDD3395"/>
    <w:multiLevelType w:val="multilevel"/>
    <w:tmpl w:val="2AF8BB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5DF26165"/>
    <w:multiLevelType w:val="multilevel"/>
    <w:tmpl w:val="453684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5E4136F1"/>
    <w:multiLevelType w:val="multilevel"/>
    <w:tmpl w:val="DE6EB55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15:restartNumberingAfterBreak="0">
    <w:nsid w:val="5FC37E60"/>
    <w:multiLevelType w:val="multilevel"/>
    <w:tmpl w:val="D3D89EB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3" w15:restartNumberingAfterBreak="0">
    <w:nsid w:val="5FE35EA3"/>
    <w:multiLevelType w:val="multilevel"/>
    <w:tmpl w:val="D674D8B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4" w15:restartNumberingAfterBreak="0">
    <w:nsid w:val="60490C5E"/>
    <w:multiLevelType w:val="multilevel"/>
    <w:tmpl w:val="2ED0305C"/>
    <w:lvl w:ilvl="0">
      <w:start w:val="2"/>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604A4B72"/>
    <w:multiLevelType w:val="multilevel"/>
    <w:tmpl w:val="498CD3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204749A"/>
    <w:multiLevelType w:val="multilevel"/>
    <w:tmpl w:val="FDBC98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63945E59"/>
    <w:multiLevelType w:val="multilevel"/>
    <w:tmpl w:val="929CEC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8" w15:restartNumberingAfterBreak="0">
    <w:nsid w:val="64E7393E"/>
    <w:multiLevelType w:val="multilevel"/>
    <w:tmpl w:val="9EEC37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64EE423D"/>
    <w:multiLevelType w:val="multilevel"/>
    <w:tmpl w:val="E020BB5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0" w15:restartNumberingAfterBreak="0">
    <w:nsid w:val="67F43A20"/>
    <w:multiLevelType w:val="multilevel"/>
    <w:tmpl w:val="52FC1348"/>
    <w:lvl w:ilvl="0">
      <w:start w:val="2"/>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697D1D58"/>
    <w:multiLevelType w:val="multilevel"/>
    <w:tmpl w:val="EF506DD0"/>
    <w:lvl w:ilvl="0">
      <w:start w:val="1"/>
      <w:numFmt w:val="decimal"/>
      <w:lvlText w:val="%1."/>
      <w:lvlJc w:val="left"/>
      <w:pPr>
        <w:ind w:left="720" w:hanging="360"/>
      </w:pPr>
    </w:lvl>
    <w:lvl w:ilvl="1">
      <w:start w:val="1"/>
      <w:numFmt w:val="lowerLetter"/>
      <w:lvlText w:val="%2)"/>
      <w:lvlJc w:val="left"/>
      <w:pPr>
        <w:ind w:left="1440" w:hanging="360"/>
      </w:pPr>
      <w:rPr>
        <w:rFonts w:ascii="Aptos" w:eastAsia="Aptos" w:hAnsi="Aptos" w:cs="Aptos"/>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DCE4E48"/>
    <w:multiLevelType w:val="multilevel"/>
    <w:tmpl w:val="BB7E577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3" w15:restartNumberingAfterBreak="0">
    <w:nsid w:val="70246165"/>
    <w:multiLevelType w:val="multilevel"/>
    <w:tmpl w:val="71C86708"/>
    <w:lvl w:ilvl="0">
      <w:start w:val="2"/>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70A53836"/>
    <w:multiLevelType w:val="multilevel"/>
    <w:tmpl w:val="66041AB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5" w15:restartNumberingAfterBreak="0">
    <w:nsid w:val="711049F0"/>
    <w:multiLevelType w:val="multilevel"/>
    <w:tmpl w:val="71D6B5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6" w15:restartNumberingAfterBreak="0">
    <w:nsid w:val="713C6B26"/>
    <w:multiLevelType w:val="multilevel"/>
    <w:tmpl w:val="D012C7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7" w15:restartNumberingAfterBreak="0">
    <w:nsid w:val="74F8258C"/>
    <w:multiLevelType w:val="multilevel"/>
    <w:tmpl w:val="4B9405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5C4315F"/>
    <w:multiLevelType w:val="multilevel"/>
    <w:tmpl w:val="A5C890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9" w15:restartNumberingAfterBreak="0">
    <w:nsid w:val="7AFA15DD"/>
    <w:multiLevelType w:val="multilevel"/>
    <w:tmpl w:val="D2ACBB9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0" w15:restartNumberingAfterBreak="0">
    <w:nsid w:val="7F8F5A97"/>
    <w:multiLevelType w:val="multilevel"/>
    <w:tmpl w:val="22323B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1" w15:restartNumberingAfterBreak="0">
    <w:nsid w:val="7FF06048"/>
    <w:multiLevelType w:val="multilevel"/>
    <w:tmpl w:val="EDAC899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759986836">
    <w:abstractNumId w:val="67"/>
  </w:num>
  <w:num w:numId="2" w16cid:durableId="2034767840">
    <w:abstractNumId w:val="1"/>
  </w:num>
  <w:num w:numId="3" w16cid:durableId="1949922937">
    <w:abstractNumId w:val="63"/>
  </w:num>
  <w:num w:numId="4" w16cid:durableId="2068531242">
    <w:abstractNumId w:val="54"/>
  </w:num>
  <w:num w:numId="5" w16cid:durableId="847476835">
    <w:abstractNumId w:val="47"/>
  </w:num>
  <w:num w:numId="6" w16cid:durableId="393937796">
    <w:abstractNumId w:val="11"/>
  </w:num>
  <w:num w:numId="7" w16cid:durableId="1742947071">
    <w:abstractNumId w:val="24"/>
  </w:num>
  <w:num w:numId="8" w16cid:durableId="827861720">
    <w:abstractNumId w:val="9"/>
  </w:num>
  <w:num w:numId="9" w16cid:durableId="796803849">
    <w:abstractNumId w:val="60"/>
  </w:num>
  <w:num w:numId="10" w16cid:durableId="284653763">
    <w:abstractNumId w:val="46"/>
  </w:num>
  <w:num w:numId="11" w16cid:durableId="744032562">
    <w:abstractNumId w:val="33"/>
  </w:num>
  <w:num w:numId="12" w16cid:durableId="1258101565">
    <w:abstractNumId w:val="12"/>
  </w:num>
  <w:num w:numId="13" w16cid:durableId="1984508624">
    <w:abstractNumId w:val="26"/>
  </w:num>
  <w:num w:numId="14" w16cid:durableId="901406747">
    <w:abstractNumId w:val="8"/>
  </w:num>
  <w:num w:numId="15" w16cid:durableId="14577807">
    <w:abstractNumId w:val="7"/>
  </w:num>
  <w:num w:numId="16" w16cid:durableId="1530800078">
    <w:abstractNumId w:val="16"/>
  </w:num>
  <w:num w:numId="17" w16cid:durableId="949897587">
    <w:abstractNumId w:val="64"/>
  </w:num>
  <w:num w:numId="18" w16cid:durableId="88696657">
    <w:abstractNumId w:val="71"/>
  </w:num>
  <w:num w:numId="19" w16cid:durableId="1833258849">
    <w:abstractNumId w:val="62"/>
  </w:num>
  <w:num w:numId="20" w16cid:durableId="556743712">
    <w:abstractNumId w:val="44"/>
  </w:num>
  <w:num w:numId="21" w16cid:durableId="7876302">
    <w:abstractNumId w:val="53"/>
  </w:num>
  <w:num w:numId="22" w16cid:durableId="1504467333">
    <w:abstractNumId w:val="4"/>
  </w:num>
  <w:num w:numId="23" w16cid:durableId="770126072">
    <w:abstractNumId w:val="30"/>
  </w:num>
  <w:num w:numId="24" w16cid:durableId="1388257580">
    <w:abstractNumId w:val="29"/>
  </w:num>
  <w:num w:numId="25" w16cid:durableId="856626986">
    <w:abstractNumId w:val="23"/>
  </w:num>
  <w:num w:numId="26" w16cid:durableId="1701735877">
    <w:abstractNumId w:val="69"/>
  </w:num>
  <w:num w:numId="27" w16cid:durableId="1350526541">
    <w:abstractNumId w:val="51"/>
  </w:num>
  <w:num w:numId="28" w16cid:durableId="1301687902">
    <w:abstractNumId w:val="27"/>
  </w:num>
  <w:num w:numId="29" w16cid:durableId="1493253800">
    <w:abstractNumId w:val="45"/>
  </w:num>
  <w:num w:numId="30" w16cid:durableId="1663970481">
    <w:abstractNumId w:val="52"/>
  </w:num>
  <w:num w:numId="31" w16cid:durableId="1844931809">
    <w:abstractNumId w:val="2"/>
  </w:num>
  <w:num w:numId="32" w16cid:durableId="805270756">
    <w:abstractNumId w:val="59"/>
  </w:num>
  <w:num w:numId="33" w16cid:durableId="1090471630">
    <w:abstractNumId w:val="68"/>
  </w:num>
  <w:num w:numId="34" w16cid:durableId="1153520846">
    <w:abstractNumId w:val="15"/>
  </w:num>
  <w:num w:numId="35" w16cid:durableId="2099905177">
    <w:abstractNumId w:val="39"/>
  </w:num>
  <w:num w:numId="36" w16cid:durableId="274291560">
    <w:abstractNumId w:val="21"/>
  </w:num>
  <w:num w:numId="37" w16cid:durableId="2013988035">
    <w:abstractNumId w:val="20"/>
  </w:num>
  <w:num w:numId="38" w16cid:durableId="712848926">
    <w:abstractNumId w:val="55"/>
  </w:num>
  <w:num w:numId="39" w16cid:durableId="669991164">
    <w:abstractNumId w:val="56"/>
  </w:num>
  <w:num w:numId="40" w16cid:durableId="112940363">
    <w:abstractNumId w:val="28"/>
  </w:num>
  <w:num w:numId="41" w16cid:durableId="1609122328">
    <w:abstractNumId w:val="48"/>
  </w:num>
  <w:num w:numId="42" w16cid:durableId="288247643">
    <w:abstractNumId w:val="14"/>
  </w:num>
  <w:num w:numId="43" w16cid:durableId="2046560057">
    <w:abstractNumId w:val="43"/>
  </w:num>
  <w:num w:numId="44" w16cid:durableId="633414291">
    <w:abstractNumId w:val="40"/>
  </w:num>
  <w:num w:numId="45" w16cid:durableId="1544170797">
    <w:abstractNumId w:val="41"/>
  </w:num>
  <w:num w:numId="46" w16cid:durableId="1193424179">
    <w:abstractNumId w:val="66"/>
  </w:num>
  <w:num w:numId="47" w16cid:durableId="1809517777">
    <w:abstractNumId w:val="70"/>
  </w:num>
  <w:num w:numId="48" w16cid:durableId="343409448">
    <w:abstractNumId w:val="5"/>
  </w:num>
  <w:num w:numId="49" w16cid:durableId="1400979838">
    <w:abstractNumId w:val="17"/>
  </w:num>
  <w:num w:numId="50" w16cid:durableId="1052926635">
    <w:abstractNumId w:val="42"/>
  </w:num>
  <w:num w:numId="51" w16cid:durableId="367606228">
    <w:abstractNumId w:val="49"/>
  </w:num>
  <w:num w:numId="52" w16cid:durableId="750929269">
    <w:abstractNumId w:val="34"/>
  </w:num>
  <w:num w:numId="53" w16cid:durableId="1196120966">
    <w:abstractNumId w:val="37"/>
  </w:num>
  <w:num w:numId="54" w16cid:durableId="1511066345">
    <w:abstractNumId w:val="35"/>
  </w:num>
  <w:num w:numId="55" w16cid:durableId="727268680">
    <w:abstractNumId w:val="36"/>
  </w:num>
  <w:num w:numId="56" w16cid:durableId="416094534">
    <w:abstractNumId w:val="6"/>
  </w:num>
  <w:num w:numId="57" w16cid:durableId="391734400">
    <w:abstractNumId w:val="32"/>
  </w:num>
  <w:num w:numId="58" w16cid:durableId="244992564">
    <w:abstractNumId w:val="3"/>
  </w:num>
  <w:num w:numId="59" w16cid:durableId="1818565967">
    <w:abstractNumId w:val="57"/>
  </w:num>
  <w:num w:numId="60" w16cid:durableId="549222948">
    <w:abstractNumId w:val="65"/>
  </w:num>
  <w:num w:numId="61" w16cid:durableId="768356108">
    <w:abstractNumId w:val="22"/>
  </w:num>
  <w:num w:numId="62" w16cid:durableId="319118057">
    <w:abstractNumId w:val="0"/>
  </w:num>
  <w:num w:numId="63" w16cid:durableId="507445275">
    <w:abstractNumId w:val="58"/>
  </w:num>
  <w:num w:numId="64" w16cid:durableId="1713770859">
    <w:abstractNumId w:val="50"/>
  </w:num>
  <w:num w:numId="65" w16cid:durableId="1113402146">
    <w:abstractNumId w:val="38"/>
  </w:num>
  <w:num w:numId="66" w16cid:durableId="1373384930">
    <w:abstractNumId w:val="61"/>
  </w:num>
  <w:num w:numId="67" w16cid:durableId="2137408344">
    <w:abstractNumId w:val="18"/>
  </w:num>
  <w:num w:numId="68" w16cid:durableId="1455051477">
    <w:abstractNumId w:val="31"/>
  </w:num>
  <w:num w:numId="69" w16cid:durableId="1132595800">
    <w:abstractNumId w:val="10"/>
  </w:num>
  <w:num w:numId="70" w16cid:durableId="89082316">
    <w:abstractNumId w:val="13"/>
  </w:num>
  <w:num w:numId="71" w16cid:durableId="1576552518">
    <w:abstractNumId w:val="19"/>
  </w:num>
  <w:num w:numId="72" w16cid:durableId="274792900">
    <w:abstractNumId w:val="2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367"/>
    <w:rsid w:val="00201EDC"/>
    <w:rsid w:val="0045628C"/>
    <w:rsid w:val="00516714"/>
    <w:rsid w:val="005C36D4"/>
    <w:rsid w:val="006C3683"/>
    <w:rsid w:val="00A02A9A"/>
    <w:rsid w:val="00AA7016"/>
    <w:rsid w:val="00B53BBE"/>
    <w:rsid w:val="00BE6367"/>
    <w:rsid w:val="00C90F6A"/>
    <w:rsid w:val="00EE5A8B"/>
    <w:rsid w:val="00F313A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23FE9"/>
  <w15:docId w15:val="{898E01F5-2B3E-4394-B57C-7CB4ABE8F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s-CO" w:eastAsia="es-CO"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EDC"/>
  </w:style>
  <w:style w:type="paragraph" w:styleId="Heading1">
    <w:name w:val="heading 1"/>
    <w:basedOn w:val="Normal"/>
    <w:next w:val="Normal"/>
    <w:link w:val="Heading1Char"/>
    <w:uiPriority w:val="9"/>
    <w:qFormat/>
    <w:rsid w:val="00201EDC"/>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unhideWhenUsed/>
    <w:qFormat/>
    <w:rsid w:val="00201EDC"/>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unhideWhenUsed/>
    <w:qFormat/>
    <w:rsid w:val="00201EDC"/>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unhideWhenUsed/>
    <w:qFormat/>
    <w:rsid w:val="00201EDC"/>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201EDC"/>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201EDC"/>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201EDC"/>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201EDC"/>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201EDC"/>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201ED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01EDC"/>
    <w:pPr>
      <w:numPr>
        <w:ilvl w:val="1"/>
      </w:numPr>
      <w:spacing w:line="240" w:lineRule="auto"/>
    </w:pPr>
    <w:rPr>
      <w:rFonts w:asciiTheme="majorHAnsi" w:eastAsiaTheme="majorEastAsia" w:hAnsiTheme="majorHAnsi" w:cstheme="majorBidi"/>
      <w:sz w:val="30"/>
      <w:szCs w:val="30"/>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15" w:type="dxa"/>
        <w:left w:w="70" w:type="dxa"/>
        <w:bottom w:w="0" w:type="dxa"/>
        <w:right w:w="70"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70" w:type="dxa"/>
        <w:bottom w:w="0" w:type="dxa"/>
        <w:right w:w="70"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70" w:type="dxa"/>
        <w:bottom w:w="0" w:type="dxa"/>
        <w:right w:w="70" w:type="dxa"/>
      </w:tblCellMar>
    </w:tblPr>
  </w:style>
  <w:style w:type="table" w:customStyle="1" w:styleId="ac">
    <w:basedOn w:val="TableNormal0"/>
    <w:tblPr>
      <w:tblStyleRowBandSize w:val="1"/>
      <w:tblStyleColBandSize w:val="1"/>
      <w:tblCellMar>
        <w:top w:w="0" w:type="dxa"/>
        <w:left w:w="70" w:type="dxa"/>
        <w:bottom w:w="0" w:type="dxa"/>
        <w:right w:w="70"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0" w:type="dxa"/>
        <w:bottom w:w="0" w:type="dxa"/>
        <w:right w:w="10" w:type="dxa"/>
      </w:tblCellMar>
    </w:tblPr>
  </w:style>
  <w:style w:type="table" w:customStyle="1" w:styleId="af5">
    <w:basedOn w:val="TableNormal0"/>
    <w:tblPr>
      <w:tblStyleRowBandSize w:val="1"/>
      <w:tblStyleColBandSize w:val="1"/>
      <w:tblCellMar>
        <w:top w:w="0" w:type="dxa"/>
        <w:left w:w="10" w:type="dxa"/>
        <w:bottom w:w="0" w:type="dxa"/>
        <w:right w:w="10" w:type="dxa"/>
      </w:tblCellMar>
    </w:tblPr>
  </w:style>
  <w:style w:type="table" w:customStyle="1" w:styleId="af6">
    <w:basedOn w:val="TableNormal0"/>
    <w:tblPr>
      <w:tblStyleRowBandSize w:val="1"/>
      <w:tblStyleColBandSize w:val="1"/>
      <w:tblCellMar>
        <w:top w:w="0" w:type="dxa"/>
        <w:left w:w="10" w:type="dxa"/>
        <w:bottom w:w="0" w:type="dxa"/>
        <w:right w:w="10"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character" w:customStyle="1" w:styleId="Heading1Char">
    <w:name w:val="Heading 1 Char"/>
    <w:basedOn w:val="DefaultParagraphFont"/>
    <w:link w:val="Heading1"/>
    <w:uiPriority w:val="9"/>
    <w:rsid w:val="00201EDC"/>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rsid w:val="00201EDC"/>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rsid w:val="00201EDC"/>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rsid w:val="00201EDC"/>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201EDC"/>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201EDC"/>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201EDC"/>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201EDC"/>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201EDC"/>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201EDC"/>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201EDC"/>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201EDC"/>
    <w:rPr>
      <w:rFonts w:asciiTheme="majorHAnsi" w:eastAsiaTheme="majorEastAsia" w:hAnsiTheme="majorHAnsi" w:cstheme="majorBidi"/>
      <w:sz w:val="30"/>
      <w:szCs w:val="30"/>
    </w:rPr>
  </w:style>
  <w:style w:type="character" w:styleId="Strong">
    <w:name w:val="Strong"/>
    <w:basedOn w:val="DefaultParagraphFont"/>
    <w:uiPriority w:val="22"/>
    <w:qFormat/>
    <w:rsid w:val="00201EDC"/>
    <w:rPr>
      <w:b/>
      <w:bCs/>
    </w:rPr>
  </w:style>
  <w:style w:type="character" w:styleId="Emphasis">
    <w:name w:val="Emphasis"/>
    <w:basedOn w:val="DefaultParagraphFont"/>
    <w:uiPriority w:val="20"/>
    <w:qFormat/>
    <w:rsid w:val="00201EDC"/>
    <w:rPr>
      <w:i/>
      <w:iCs/>
      <w:color w:val="F79646" w:themeColor="accent6"/>
    </w:rPr>
  </w:style>
  <w:style w:type="paragraph" w:styleId="NoSpacing">
    <w:name w:val="No Spacing"/>
    <w:uiPriority w:val="1"/>
    <w:qFormat/>
    <w:rsid w:val="00201EDC"/>
    <w:pPr>
      <w:spacing w:after="0" w:line="240" w:lineRule="auto"/>
    </w:pPr>
  </w:style>
  <w:style w:type="paragraph" w:styleId="Quote">
    <w:name w:val="Quote"/>
    <w:basedOn w:val="Normal"/>
    <w:next w:val="Normal"/>
    <w:link w:val="QuoteChar"/>
    <w:uiPriority w:val="29"/>
    <w:qFormat/>
    <w:rsid w:val="00201EDC"/>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01EDC"/>
    <w:rPr>
      <w:i/>
      <w:iCs/>
      <w:color w:val="262626" w:themeColor="text1" w:themeTint="D9"/>
    </w:rPr>
  </w:style>
  <w:style w:type="paragraph" w:styleId="IntenseQuote">
    <w:name w:val="Intense Quote"/>
    <w:basedOn w:val="Normal"/>
    <w:next w:val="Normal"/>
    <w:link w:val="IntenseQuoteChar"/>
    <w:uiPriority w:val="30"/>
    <w:qFormat/>
    <w:rsid w:val="00201EDC"/>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201EDC"/>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201EDC"/>
    <w:rPr>
      <w:i/>
      <w:iCs/>
    </w:rPr>
  </w:style>
  <w:style w:type="character" w:styleId="IntenseEmphasis">
    <w:name w:val="Intense Emphasis"/>
    <w:basedOn w:val="DefaultParagraphFont"/>
    <w:uiPriority w:val="21"/>
    <w:qFormat/>
    <w:rsid w:val="00201EDC"/>
    <w:rPr>
      <w:b/>
      <w:bCs/>
      <w:i/>
      <w:iCs/>
    </w:rPr>
  </w:style>
  <w:style w:type="character" w:styleId="SubtleReference">
    <w:name w:val="Subtle Reference"/>
    <w:basedOn w:val="DefaultParagraphFont"/>
    <w:uiPriority w:val="31"/>
    <w:qFormat/>
    <w:rsid w:val="00201EDC"/>
    <w:rPr>
      <w:smallCaps/>
      <w:color w:val="595959" w:themeColor="text1" w:themeTint="A6"/>
    </w:rPr>
  </w:style>
  <w:style w:type="character" w:styleId="IntenseReference">
    <w:name w:val="Intense Reference"/>
    <w:basedOn w:val="DefaultParagraphFont"/>
    <w:uiPriority w:val="32"/>
    <w:qFormat/>
    <w:rsid w:val="00201EDC"/>
    <w:rPr>
      <w:b/>
      <w:bCs/>
      <w:smallCaps/>
      <w:color w:val="F79646" w:themeColor="accent6"/>
    </w:rPr>
  </w:style>
  <w:style w:type="character" w:styleId="BookTitle">
    <w:name w:val="Book Title"/>
    <w:basedOn w:val="DefaultParagraphFont"/>
    <w:uiPriority w:val="33"/>
    <w:qFormat/>
    <w:rsid w:val="00201EDC"/>
    <w:rPr>
      <w:b/>
      <w:bCs/>
      <w:caps w:val="0"/>
      <w:smallCaps/>
      <w:spacing w:val="7"/>
      <w:sz w:val="21"/>
      <w:szCs w:val="21"/>
    </w:rPr>
  </w:style>
  <w:style w:type="paragraph" w:styleId="TOCHeading">
    <w:name w:val="TOC Heading"/>
    <w:basedOn w:val="Heading1"/>
    <w:next w:val="Normal"/>
    <w:uiPriority w:val="39"/>
    <w:semiHidden/>
    <w:unhideWhenUsed/>
    <w:qFormat/>
    <w:rsid w:val="00201ED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jabra.com/business/video-conferencing/jabra-panacast-50" TargetMode="External"/><Relationship Id="rId18" Type="http://schemas.openxmlformats.org/officeDocument/2006/relationships/hyperlink" Target="https://www.biamp.com/products/tesira-amplifiers" TargetMode="Externa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s://www.google.com/search?q=https://www.crestron.com/Products/Workspace-Solutions/Room-Schedulin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jabra.com/business/video-conferencing/jabra-panacast-speakermic" TargetMode="External"/><Relationship Id="rId17" Type="http://schemas.openxmlformats.org/officeDocument/2006/relationships/hyperlink" Target="https://www.televic.com/en/conference/products" TargetMode="External"/><Relationship Id="rId25" Type="http://schemas.openxmlformats.org/officeDocument/2006/relationships/hyperlink" Target="https://www.lg.com/us/support/help-library/lg-monitor-how-to-use-the-pivot-function--20153255660556"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televic.com/en/conference/products" TargetMode="External"/><Relationship Id="rId20" Type="http://schemas.openxmlformats.org/officeDocument/2006/relationships/hyperlink" Target="https://www.google.com/search?q=https://www.crestron.com/Products/Control-Hardware-Software/Hardware" TargetMode="External"/><Relationship Id="rId29" Type="http://schemas.openxmlformats.org/officeDocument/2006/relationships/hyperlink" Target="https://urldefense.com/v3/__https:/www.lg.com/us/support/help-library/lg-monitor-how-to-use-the-pivot-function--20153255660556__;!!KDf9ebxpXGLC!B7PqThmltToVtiXJSwDakwnruitypvqxyl6EE6kCitVeJooXY81cOphQ33cJvpVmn_iH8kogJmShop4U9JBAExm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q=https://www.crestron.com/Products/Workspace-Solutions/Unified-Communications" TargetMode="External"/><Relationship Id="rId24" Type="http://schemas.openxmlformats.org/officeDocument/2006/relationships/hyperlink" Target="https://www.amazon.com/monitor-pivot-function/s?k=monitor+with+pivot+function"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oogle.com/search?q=https://www.televic.com/en/conference/products/microphones" TargetMode="External"/><Relationship Id="rId23" Type="http://schemas.openxmlformats.org/officeDocument/2006/relationships/hyperlink" Target="https://www.amazon.com/monitor-pivot-function/s?k=monitor+with+pivot+function" TargetMode="External"/><Relationship Id="rId28" Type="http://schemas.openxmlformats.org/officeDocument/2006/relationships/hyperlink" Target="https://urldefense.com/v3/__https:/www.amazon.com/monitor-pivot-function/s?k=monitor*with*pivot*function__;Kysr!!KDf9ebxpXGLC!B7PqThmltToVtiXJSwDakwnruitypvqxyl6EE6kCitVeJooXY81cOphQ33cJvpVmn_iH8kogJmShop4U9MjnoGr4$" TargetMode="External"/><Relationship Id="rId10" Type="http://schemas.openxmlformats.org/officeDocument/2006/relationships/hyperlink" Target="https://www.google.com/search?q=https://www.crestron.com/Products/Workspace-Solutions/Intelligent-Video/Automate-VX" TargetMode="External"/><Relationship Id="rId19" Type="http://schemas.openxmlformats.org/officeDocument/2006/relationships/hyperlink" Target="https://www.google.com/search?q=https://www.biamp.com/products/desono-ceiling-loudspeakers" TargetMode="Externa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google.com/search?q=https://www.crestron.com/Products/Workspace-Solutions/Intelligent-Video" TargetMode="External"/><Relationship Id="rId14" Type="http://schemas.openxmlformats.org/officeDocument/2006/relationships/hyperlink" Target="https://www.google.com/search?q=https://www.televic.com/en/conference/products/central-equipment/plixus-ae-r" TargetMode="External"/><Relationship Id="rId22" Type="http://schemas.openxmlformats.org/officeDocument/2006/relationships/hyperlink" Target="https://www.lg.com/co/monitores/gaming/32gn55r-b/" TargetMode="External"/><Relationship Id="rId27" Type="http://schemas.openxmlformats.org/officeDocument/2006/relationships/hyperlink" Target="https://urldefense.com/v3/__https:/www.amazon.com/monitor-pivot-function/s?k=monitor*with*pivot*function__;Kysr!!KDf9ebxpXGLC!B7PqThmltToVtiXJSwDakwnruitypvqxyl6EE6kCitVeJooXY81cOphQ33cJvpVmn_iH8kogJmShop4U9MjnoGr4$" TargetMode="External"/><Relationship Id="rId30" Type="http://schemas.openxmlformats.org/officeDocument/2006/relationships/image" Target="media/image2.png"/><Relationship Id="rId8" Type="http://schemas.openxmlformats.org/officeDocument/2006/relationships/hyperlink" Target="https://www.google.com/search?q=https://www.crestron.com/Products/Video/DigitalMedia-Endpoints/Network-Video-Endpoint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Qegxs8UIAUFuhhc0hOkyumGzDQ==">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273</Pages>
  <Words>107600</Words>
  <Characters>628388</Characters>
  <Application>Microsoft Office Word</Application>
  <DocSecurity>0</DocSecurity>
  <Lines>13660</Lines>
  <Paragraphs>4571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Sebastian Poveda Buendia</dc:creator>
  <cp:lastModifiedBy>Espinosa, Juan Carlos</cp:lastModifiedBy>
  <cp:revision>3</cp:revision>
  <cp:lastPrinted>2026-07-31T14:00:00Z</cp:lastPrinted>
  <dcterms:created xsi:type="dcterms:W3CDTF">2026-07-31T14:00:00Z</dcterms:created>
  <dcterms:modified xsi:type="dcterms:W3CDTF">2026-07-31T14:05:00Z</dcterms:modified>
</cp:coreProperties>
</file>